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8D836" w14:textId="77777777" w:rsidR="00B101BD" w:rsidRDefault="00B101BD">
      <w:pPr>
        <w:spacing w:after="0" w:line="240" w:lineRule="auto"/>
        <w:rPr>
          <w:rFonts w:cs="Calibri"/>
        </w:rPr>
      </w:pPr>
    </w:p>
    <w:p w14:paraId="772B96B6" w14:textId="77777777" w:rsidR="0010334C" w:rsidRDefault="00170F86" w:rsidP="0010334C">
      <w:pPr>
        <w:pStyle w:val="BodyText"/>
        <w:tabs>
          <w:tab w:val="left" w:pos="4680"/>
        </w:tabs>
        <w:ind w:left="4680"/>
        <w:rPr>
          <w:rFonts w:ascii="Calibri" w:eastAsia="Calibri" w:hAnsi="Calibri" w:cs="Calibri"/>
          <w:b/>
          <w:i/>
        </w:rPr>
      </w:pPr>
      <w:r>
        <w:rPr>
          <w:rFonts w:ascii="Calibri" w:eastAsia="Calibri" w:hAnsi="Calibri" w:cs="Calibri"/>
          <w:b/>
          <w:i/>
        </w:rPr>
        <w:tab/>
      </w:r>
      <w:r>
        <w:rPr>
          <w:rFonts w:ascii="Calibri" w:eastAsia="Calibri" w:hAnsi="Calibri" w:cs="Calibri"/>
          <w:b/>
          <w:i/>
        </w:rPr>
        <w:tab/>
      </w:r>
      <w:r w:rsidR="00885344">
        <w:rPr>
          <w:rFonts w:ascii="Calibri" w:eastAsia="Calibri" w:hAnsi="Calibri" w:cs="Calibri"/>
          <w:b/>
          <w:i/>
        </w:rPr>
        <w:t>Corporate Contact</w:t>
      </w:r>
      <w:r w:rsidR="00885344" w:rsidRPr="004A1DC8">
        <w:rPr>
          <w:rFonts w:ascii="Calibri" w:eastAsia="Calibri" w:hAnsi="Calibri" w:cs="Calibri"/>
          <w:b/>
          <w:i/>
        </w:rPr>
        <w:t>:</w:t>
      </w:r>
    </w:p>
    <w:p w14:paraId="5E41B123" w14:textId="77777777" w:rsidR="0010334C" w:rsidRPr="0010334C" w:rsidRDefault="00170F86" w:rsidP="0010334C">
      <w:pPr>
        <w:pStyle w:val="BodyText"/>
        <w:tabs>
          <w:tab w:val="left" w:pos="4680"/>
        </w:tabs>
        <w:ind w:left="4680"/>
        <w:rPr>
          <w:rFonts w:ascii="Calibri" w:eastAsia="Calibri" w:hAnsi="Calibri" w:cs="Calibri"/>
          <w:b/>
          <w:i/>
        </w:rPr>
      </w:pPr>
      <w:r>
        <w:rPr>
          <w:rFonts w:ascii="Calibri" w:eastAsia="Calibri" w:hAnsi="Calibri" w:cs="Calibri"/>
        </w:rPr>
        <w:tab/>
      </w:r>
      <w:r>
        <w:rPr>
          <w:rFonts w:ascii="Calibri" w:eastAsia="Calibri" w:hAnsi="Calibri" w:cs="Calibri"/>
        </w:rPr>
        <w:tab/>
      </w:r>
      <w:r w:rsidR="00885344">
        <w:rPr>
          <w:rFonts w:ascii="Calibri" w:eastAsia="Calibri" w:hAnsi="Calibri" w:cs="Calibri"/>
        </w:rPr>
        <w:t>Andreas Michalopoulos</w:t>
      </w:r>
    </w:p>
    <w:p w14:paraId="193570A5" w14:textId="77777777" w:rsidR="0010334C" w:rsidRDefault="00885344" w:rsidP="0033661E">
      <w:pPr>
        <w:pStyle w:val="BodyText"/>
        <w:tabs>
          <w:tab w:val="left" w:pos="5670"/>
          <w:tab w:val="left" w:pos="7291"/>
        </w:tabs>
        <w:rPr>
          <w:rFonts w:ascii="Calibri" w:eastAsia="Calibri" w:hAnsi="Calibri" w:cs="Calibri"/>
        </w:rPr>
      </w:pPr>
      <w:r>
        <w:rPr>
          <w:rFonts w:ascii="Calibri" w:eastAsia="Calibri" w:hAnsi="Calibri" w:cs="Calibri"/>
        </w:rPr>
        <w:tab/>
      </w:r>
      <w:r w:rsidR="00170F86">
        <w:rPr>
          <w:rFonts w:ascii="Calibri" w:eastAsia="Calibri" w:hAnsi="Calibri" w:cs="Calibri"/>
        </w:rPr>
        <w:t xml:space="preserve">  </w:t>
      </w:r>
      <w:r w:rsidR="006227AC">
        <w:rPr>
          <w:rFonts w:ascii="Calibri" w:eastAsia="Calibri" w:hAnsi="Calibri" w:cs="Calibri"/>
        </w:rPr>
        <w:t>Chief Executive Officer,</w:t>
      </w:r>
      <w:r>
        <w:rPr>
          <w:rFonts w:ascii="Calibri" w:eastAsia="Calibri" w:hAnsi="Calibri" w:cs="Calibri"/>
        </w:rPr>
        <w:t xml:space="preserve"> Director</w:t>
      </w:r>
      <w:r w:rsidR="006227AC">
        <w:rPr>
          <w:rFonts w:ascii="Calibri" w:eastAsia="Calibri" w:hAnsi="Calibri" w:cs="Calibri"/>
        </w:rPr>
        <w:t xml:space="preserve"> and Secretary</w:t>
      </w:r>
    </w:p>
    <w:p w14:paraId="322F371E" w14:textId="77777777" w:rsidR="0010334C" w:rsidRPr="004A1DC8" w:rsidRDefault="00170F86" w:rsidP="0010334C">
      <w:pPr>
        <w:pStyle w:val="BodyText"/>
        <w:tabs>
          <w:tab w:val="left" w:pos="4680"/>
        </w:tabs>
        <w:ind w:left="4680"/>
        <w:rPr>
          <w:rFonts w:ascii="Calibri" w:eastAsia="Calibri" w:hAnsi="Calibri" w:cs="Calibri"/>
        </w:rPr>
      </w:pPr>
      <w:r>
        <w:rPr>
          <w:rFonts w:ascii="Calibri" w:eastAsia="Calibri" w:hAnsi="Calibri" w:cs="Calibri"/>
        </w:rPr>
        <w:tab/>
      </w:r>
      <w:r>
        <w:rPr>
          <w:rFonts w:ascii="Calibri" w:eastAsia="Calibri" w:hAnsi="Calibri" w:cs="Calibri"/>
        </w:rPr>
        <w:tab/>
      </w:r>
      <w:r w:rsidR="00885344" w:rsidRPr="004A1DC8">
        <w:rPr>
          <w:rFonts w:ascii="Calibri" w:eastAsia="Calibri" w:hAnsi="Calibri" w:cs="Calibri"/>
        </w:rPr>
        <w:t xml:space="preserve">Telephone: + </w:t>
      </w:r>
      <w:r w:rsidR="00885344">
        <w:rPr>
          <w:rFonts w:ascii="Calibri" w:eastAsia="Calibri" w:hAnsi="Calibri" w:cs="Calibri"/>
        </w:rPr>
        <w:t>30-216-600-2400</w:t>
      </w:r>
    </w:p>
    <w:p w14:paraId="5862572F" w14:textId="3DE013AE" w:rsidR="0010334C" w:rsidRPr="0062471C" w:rsidRDefault="00885344" w:rsidP="0033661E">
      <w:pPr>
        <w:tabs>
          <w:tab w:val="left" w:pos="540"/>
          <w:tab w:val="left" w:pos="4680"/>
        </w:tabs>
        <w:ind w:left="5760"/>
        <w:rPr>
          <w:rFonts w:cs="Calibri"/>
          <w:lang w:val="en-US"/>
        </w:rPr>
      </w:pPr>
      <w:r w:rsidRPr="004A1DC8">
        <w:rPr>
          <w:rFonts w:cs="Calibri"/>
          <w:lang w:val="en-US"/>
        </w:rPr>
        <w:t xml:space="preserve">Email: </w:t>
      </w:r>
      <w:r w:rsidRPr="00B407ED">
        <w:rPr>
          <w:rStyle w:val="Hyperlink"/>
          <w:rFonts w:ascii="Calibri" w:hAnsi="Calibri" w:cs="Calibri"/>
          <w:lang w:val="en-US"/>
        </w:rPr>
        <w:t>amichalopoulos@pshipping.com</w:t>
      </w:r>
      <w:r>
        <w:rPr>
          <w:rFonts w:cs="Calibri"/>
          <w:lang w:val="en-US"/>
        </w:rPr>
        <w:br/>
      </w:r>
      <w:r w:rsidRPr="0062471C">
        <w:rPr>
          <w:rFonts w:cs="Calibri"/>
          <w:lang w:val="en-US"/>
        </w:rPr>
        <w:t xml:space="preserve">Website: </w:t>
      </w:r>
      <w:r w:rsidRPr="0010334C">
        <w:rPr>
          <w:rStyle w:val="Hyperlink"/>
          <w:rFonts w:ascii="Calibri" w:hAnsi="Calibri" w:cs="Calibri"/>
          <w:lang w:val="en-US"/>
        </w:rPr>
        <w:t>www.pshipping.com</w:t>
      </w:r>
    </w:p>
    <w:p w14:paraId="74C9BDD9" w14:textId="77777777" w:rsidR="00EF096F" w:rsidRDefault="00EF096F" w:rsidP="00C55602">
      <w:pPr>
        <w:pStyle w:val="BodyText"/>
        <w:tabs>
          <w:tab w:val="left" w:pos="4680"/>
        </w:tabs>
        <w:rPr>
          <w:rFonts w:ascii="Calibri" w:eastAsia="Calibri" w:hAnsi="Calibri" w:cs="Calibri"/>
        </w:rPr>
      </w:pPr>
    </w:p>
    <w:p w14:paraId="4E84DC3D" w14:textId="77777777" w:rsidR="00C55602" w:rsidRPr="004A1DC8" w:rsidRDefault="00885344" w:rsidP="00C55602">
      <w:pPr>
        <w:pStyle w:val="BodyText"/>
        <w:tabs>
          <w:tab w:val="left" w:pos="4680"/>
        </w:tabs>
        <w:rPr>
          <w:rFonts w:ascii="Calibri" w:eastAsia="Calibri" w:hAnsi="Calibri" w:cs="Calibri"/>
          <w:b/>
          <w:i/>
        </w:rPr>
      </w:pPr>
      <w:bookmarkStart w:id="0" w:name="_GoBack"/>
      <w:bookmarkEnd w:id="0"/>
      <w:r w:rsidRPr="004A1DC8">
        <w:rPr>
          <w:rFonts w:ascii="Calibri" w:eastAsia="Calibri" w:hAnsi="Calibri" w:cs="Calibri"/>
        </w:rPr>
        <w:tab/>
      </w:r>
      <w:r w:rsidR="00170F86">
        <w:rPr>
          <w:rFonts w:ascii="Calibri" w:eastAsia="Calibri" w:hAnsi="Calibri" w:cs="Calibri"/>
        </w:rPr>
        <w:tab/>
      </w:r>
      <w:r w:rsidR="00170F86">
        <w:rPr>
          <w:rFonts w:ascii="Calibri" w:eastAsia="Calibri" w:hAnsi="Calibri" w:cs="Calibri"/>
        </w:rPr>
        <w:tab/>
      </w:r>
      <w:r w:rsidRPr="004A1DC8">
        <w:rPr>
          <w:rFonts w:ascii="Calibri" w:eastAsia="Calibri" w:hAnsi="Calibri" w:cs="Calibri"/>
          <w:b/>
          <w:i/>
        </w:rPr>
        <w:t>Investor and Media Relations:</w:t>
      </w:r>
    </w:p>
    <w:p w14:paraId="5A01EF9E" w14:textId="77777777" w:rsidR="00C55602" w:rsidRPr="004A1DC8" w:rsidRDefault="00885344" w:rsidP="00C55602">
      <w:pPr>
        <w:pStyle w:val="BodyText"/>
        <w:tabs>
          <w:tab w:val="left" w:pos="4680"/>
        </w:tabs>
        <w:rPr>
          <w:rFonts w:ascii="Calibri" w:eastAsia="Calibri" w:hAnsi="Calibri" w:cs="Calibri"/>
        </w:rPr>
      </w:pPr>
      <w:r w:rsidRPr="004A1DC8">
        <w:rPr>
          <w:rFonts w:ascii="Calibri" w:eastAsia="Calibri" w:hAnsi="Calibri" w:cs="Calibri"/>
        </w:rPr>
        <w:tab/>
      </w:r>
      <w:r w:rsidR="00170F86">
        <w:rPr>
          <w:rFonts w:ascii="Calibri" w:eastAsia="Calibri" w:hAnsi="Calibri" w:cs="Calibri"/>
        </w:rPr>
        <w:tab/>
      </w:r>
      <w:r w:rsidR="00170F86">
        <w:rPr>
          <w:rFonts w:ascii="Calibri" w:eastAsia="Calibri" w:hAnsi="Calibri" w:cs="Calibri"/>
        </w:rPr>
        <w:tab/>
      </w:r>
      <w:r w:rsidRPr="004A1DC8">
        <w:rPr>
          <w:rFonts w:ascii="Calibri" w:eastAsia="Calibri" w:hAnsi="Calibri" w:cs="Calibri"/>
        </w:rPr>
        <w:t>Edward Nebb</w:t>
      </w:r>
    </w:p>
    <w:p w14:paraId="175269FA" w14:textId="77777777" w:rsidR="00C55602" w:rsidRPr="004A1DC8" w:rsidRDefault="00885344" w:rsidP="00C55602">
      <w:pPr>
        <w:pStyle w:val="BodyText"/>
        <w:tabs>
          <w:tab w:val="left" w:pos="4680"/>
        </w:tabs>
        <w:rPr>
          <w:rFonts w:ascii="Calibri" w:eastAsia="Calibri" w:hAnsi="Calibri" w:cs="Calibri"/>
        </w:rPr>
      </w:pPr>
      <w:r w:rsidRPr="004A1DC8">
        <w:rPr>
          <w:rFonts w:ascii="Calibri" w:eastAsia="Calibri" w:hAnsi="Calibri" w:cs="Calibri"/>
        </w:rPr>
        <w:tab/>
      </w:r>
      <w:r w:rsidR="00170F86">
        <w:rPr>
          <w:rFonts w:ascii="Calibri" w:eastAsia="Calibri" w:hAnsi="Calibri" w:cs="Calibri"/>
        </w:rPr>
        <w:tab/>
      </w:r>
      <w:r w:rsidR="00170F86">
        <w:rPr>
          <w:rFonts w:ascii="Calibri" w:eastAsia="Calibri" w:hAnsi="Calibri" w:cs="Calibri"/>
        </w:rPr>
        <w:tab/>
      </w:r>
      <w:r w:rsidRPr="004A1DC8">
        <w:rPr>
          <w:rFonts w:ascii="Calibri" w:eastAsia="Calibri" w:hAnsi="Calibri" w:cs="Calibri"/>
        </w:rPr>
        <w:t>Comm-Counsellors, LLC</w:t>
      </w:r>
    </w:p>
    <w:p w14:paraId="4FB84CAC" w14:textId="77777777" w:rsidR="00C55602" w:rsidRPr="004A1DC8" w:rsidRDefault="00885344" w:rsidP="00C55602">
      <w:pPr>
        <w:pStyle w:val="BodyText"/>
        <w:tabs>
          <w:tab w:val="left" w:pos="4680"/>
        </w:tabs>
        <w:rPr>
          <w:rFonts w:ascii="Calibri" w:eastAsia="Calibri" w:hAnsi="Calibri" w:cs="Calibri"/>
        </w:rPr>
      </w:pPr>
      <w:r w:rsidRPr="004A1DC8">
        <w:rPr>
          <w:rFonts w:ascii="Calibri" w:eastAsia="Calibri" w:hAnsi="Calibri" w:cs="Calibri"/>
        </w:rPr>
        <w:tab/>
      </w:r>
      <w:r w:rsidR="00170F86">
        <w:rPr>
          <w:rFonts w:ascii="Calibri" w:eastAsia="Calibri" w:hAnsi="Calibri" w:cs="Calibri"/>
        </w:rPr>
        <w:tab/>
      </w:r>
      <w:r w:rsidR="00170F86">
        <w:rPr>
          <w:rFonts w:ascii="Calibri" w:eastAsia="Calibri" w:hAnsi="Calibri" w:cs="Calibri"/>
        </w:rPr>
        <w:tab/>
      </w:r>
      <w:r w:rsidRPr="004A1DC8">
        <w:rPr>
          <w:rFonts w:ascii="Calibri" w:eastAsia="Calibri" w:hAnsi="Calibri" w:cs="Calibri"/>
        </w:rPr>
        <w:t>Telephone: + 1-203-972-8350</w:t>
      </w:r>
    </w:p>
    <w:p w14:paraId="6C624CCE" w14:textId="77777777" w:rsidR="00C55602" w:rsidRPr="004A1DC8" w:rsidRDefault="00885344" w:rsidP="00C55602">
      <w:pPr>
        <w:tabs>
          <w:tab w:val="left" w:pos="540"/>
          <w:tab w:val="left" w:pos="4680"/>
        </w:tabs>
        <w:rPr>
          <w:rFonts w:cs="Calibri"/>
          <w:lang w:val="en-US"/>
        </w:rPr>
      </w:pPr>
      <w:r w:rsidRPr="004A1DC8">
        <w:rPr>
          <w:rFonts w:cs="Calibri"/>
          <w:lang w:val="en-GB"/>
        </w:rPr>
        <w:tab/>
      </w:r>
      <w:r w:rsidRPr="004A1DC8">
        <w:rPr>
          <w:rFonts w:cs="Calibri"/>
          <w:lang w:val="en-GB"/>
        </w:rPr>
        <w:tab/>
      </w:r>
      <w:r w:rsidR="00170F86">
        <w:rPr>
          <w:rFonts w:cs="Calibri"/>
          <w:lang w:val="en-GB"/>
        </w:rPr>
        <w:tab/>
      </w:r>
      <w:r w:rsidR="00170F86">
        <w:rPr>
          <w:rFonts w:cs="Calibri"/>
          <w:lang w:val="en-GB"/>
        </w:rPr>
        <w:tab/>
      </w:r>
      <w:r w:rsidRPr="004A1DC8">
        <w:rPr>
          <w:rFonts w:cs="Calibri"/>
          <w:lang w:val="en-US"/>
        </w:rPr>
        <w:t xml:space="preserve">Email: </w:t>
      </w:r>
      <w:r w:rsidRPr="004A1DC8">
        <w:rPr>
          <w:rFonts w:cs="Calibri"/>
          <w:color w:val="0000FF"/>
          <w:u w:val="single"/>
          <w:lang w:val="en-US"/>
        </w:rPr>
        <w:t>enebb@optonline.net</w:t>
      </w:r>
    </w:p>
    <w:p w14:paraId="12297160" w14:textId="77777777" w:rsidR="00C55602" w:rsidRPr="004A1DC8" w:rsidRDefault="00C55602" w:rsidP="00C55602">
      <w:pPr>
        <w:pStyle w:val="BodyText"/>
        <w:tabs>
          <w:tab w:val="left" w:pos="540"/>
          <w:tab w:val="left" w:pos="4680"/>
        </w:tabs>
        <w:rPr>
          <w:rFonts w:ascii="Calibri" w:eastAsia="Calibri" w:hAnsi="Calibri" w:cs="Calibri"/>
        </w:rPr>
      </w:pPr>
    </w:p>
    <w:p w14:paraId="5AEF3123" w14:textId="77777777" w:rsidR="0050467E" w:rsidRPr="0050467E" w:rsidRDefault="00885344" w:rsidP="0050467E">
      <w:pPr>
        <w:pStyle w:val="BodyText"/>
        <w:tabs>
          <w:tab w:val="left" w:pos="540"/>
        </w:tabs>
        <w:jc w:val="center"/>
        <w:rPr>
          <w:rFonts w:ascii="Calibri" w:eastAsia="Calibri" w:hAnsi="Calibri" w:cs="Calibri"/>
          <w:b/>
        </w:rPr>
      </w:pPr>
      <w:r>
        <w:rPr>
          <w:rFonts w:ascii="Calibri" w:eastAsia="Calibri" w:hAnsi="Calibri" w:cs="Calibri"/>
          <w:b/>
        </w:rPr>
        <w:t>PERFORMANCE SHIPPING</w:t>
      </w:r>
      <w:r w:rsidRPr="0050467E">
        <w:rPr>
          <w:rFonts w:ascii="Calibri" w:eastAsia="Calibri" w:hAnsi="Calibri" w:cs="Calibri"/>
          <w:b/>
        </w:rPr>
        <w:t xml:space="preserve"> INC. REPORTS FINANCIAL RESULTS </w:t>
      </w:r>
    </w:p>
    <w:p w14:paraId="253CED93" w14:textId="77777777" w:rsidR="009940E6" w:rsidRDefault="00885344" w:rsidP="0050467E">
      <w:pPr>
        <w:pStyle w:val="BodyText"/>
        <w:tabs>
          <w:tab w:val="left" w:pos="540"/>
        </w:tabs>
        <w:jc w:val="center"/>
        <w:rPr>
          <w:rFonts w:ascii="Calibri" w:eastAsia="Calibri" w:hAnsi="Calibri" w:cs="Calibri"/>
          <w:b/>
        </w:rPr>
      </w:pPr>
      <w:r>
        <w:rPr>
          <w:rFonts w:ascii="Calibri" w:eastAsia="Calibri" w:hAnsi="Calibri" w:cs="Calibri"/>
          <w:b/>
        </w:rPr>
        <w:t xml:space="preserve">FOR THE </w:t>
      </w:r>
      <w:r w:rsidR="00B86637">
        <w:rPr>
          <w:rFonts w:ascii="Calibri" w:eastAsia="Calibri" w:hAnsi="Calibri" w:cs="Calibri"/>
          <w:b/>
        </w:rPr>
        <w:t>F</w:t>
      </w:r>
      <w:r w:rsidR="00494047">
        <w:rPr>
          <w:rFonts w:ascii="Calibri" w:eastAsia="Calibri" w:hAnsi="Calibri" w:cs="Calibri"/>
          <w:b/>
        </w:rPr>
        <w:t>IRST</w:t>
      </w:r>
      <w:r w:rsidR="005C3EF0">
        <w:rPr>
          <w:rFonts w:ascii="Calibri" w:eastAsia="Calibri" w:hAnsi="Calibri" w:cs="Calibri"/>
          <w:b/>
        </w:rPr>
        <w:t xml:space="preserve"> </w:t>
      </w:r>
      <w:r w:rsidR="005C3EF0" w:rsidRPr="00F87C40">
        <w:rPr>
          <w:rFonts w:ascii="Calibri" w:eastAsia="Calibri" w:hAnsi="Calibri" w:cs="Calibri"/>
          <w:b/>
        </w:rPr>
        <w:t xml:space="preserve">QUARTER </w:t>
      </w:r>
      <w:r w:rsidR="005C3EF0">
        <w:rPr>
          <w:rFonts w:ascii="Calibri" w:eastAsia="Calibri" w:hAnsi="Calibri" w:cs="Calibri"/>
          <w:b/>
        </w:rPr>
        <w:t xml:space="preserve">ENDED </w:t>
      </w:r>
      <w:r w:rsidR="00494047">
        <w:rPr>
          <w:rFonts w:ascii="Calibri" w:eastAsia="Calibri" w:hAnsi="Calibri" w:cs="Calibri"/>
          <w:b/>
        </w:rPr>
        <w:t>MARCH</w:t>
      </w:r>
      <w:r w:rsidR="00B86637">
        <w:rPr>
          <w:rFonts w:ascii="Calibri" w:eastAsia="Calibri" w:hAnsi="Calibri" w:cs="Calibri"/>
          <w:b/>
        </w:rPr>
        <w:t xml:space="preserve"> 31</w:t>
      </w:r>
      <w:r w:rsidR="00494047">
        <w:rPr>
          <w:rFonts w:ascii="Calibri" w:eastAsia="Calibri" w:hAnsi="Calibri" w:cs="Calibri"/>
          <w:b/>
        </w:rPr>
        <w:t>, 2021</w:t>
      </w:r>
    </w:p>
    <w:p w14:paraId="2D72DC6C" w14:textId="77777777" w:rsidR="001B1F07" w:rsidRDefault="001B1F07" w:rsidP="009B4F2E">
      <w:pPr>
        <w:pStyle w:val="BodyText"/>
        <w:tabs>
          <w:tab w:val="left" w:pos="540"/>
        </w:tabs>
        <w:jc w:val="center"/>
        <w:rPr>
          <w:rFonts w:ascii="Calibri" w:eastAsia="Calibri" w:hAnsi="Calibri" w:cs="Calibri"/>
          <w:b/>
        </w:rPr>
      </w:pPr>
    </w:p>
    <w:p w14:paraId="2A7EE1AB" w14:textId="77777777" w:rsidR="008E442B" w:rsidRPr="003B7068" w:rsidRDefault="00885344" w:rsidP="003B7068">
      <w:pPr>
        <w:pStyle w:val="Normal0"/>
        <w:ind w:right="-82"/>
        <w:jc w:val="both"/>
        <w:rPr>
          <w:rFonts w:ascii="Calibri" w:eastAsia="Calibri" w:hAnsi="Calibri" w:cs="Calibri"/>
        </w:rPr>
      </w:pPr>
      <w:r>
        <w:rPr>
          <w:rFonts w:ascii="Calibri" w:eastAsia="Calibri" w:hAnsi="Calibri" w:cs="Calibri"/>
        </w:rPr>
        <w:t>ATHENS, GREECE, May 2</w:t>
      </w:r>
      <w:r w:rsidR="00FF4909">
        <w:rPr>
          <w:rFonts w:ascii="Calibri" w:eastAsia="Calibri" w:hAnsi="Calibri" w:cs="Calibri"/>
        </w:rPr>
        <w:t>0</w:t>
      </w:r>
      <w:r w:rsidR="00461BBF" w:rsidRPr="008E442B">
        <w:rPr>
          <w:rFonts w:ascii="Calibri" w:eastAsia="Calibri" w:hAnsi="Calibri" w:cs="Calibri"/>
        </w:rPr>
        <w:t>, 20</w:t>
      </w:r>
      <w:r w:rsidR="00893183">
        <w:rPr>
          <w:rFonts w:ascii="Calibri" w:eastAsia="Calibri" w:hAnsi="Calibri" w:cs="Calibri"/>
        </w:rPr>
        <w:t>21</w:t>
      </w:r>
      <w:r w:rsidR="00461BBF" w:rsidRPr="008E442B">
        <w:rPr>
          <w:rFonts w:ascii="Calibri" w:eastAsia="Calibri" w:hAnsi="Calibri" w:cs="Calibri"/>
        </w:rPr>
        <w:t xml:space="preserve"> – Perform</w:t>
      </w:r>
      <w:r w:rsidR="00BC4CF4">
        <w:rPr>
          <w:rFonts w:ascii="Calibri" w:eastAsia="Calibri" w:hAnsi="Calibri" w:cs="Calibri"/>
        </w:rPr>
        <w:t>ance Shipping Inc. (NASDAQ: PSHG</w:t>
      </w:r>
      <w:r w:rsidR="0047391A">
        <w:rPr>
          <w:rFonts w:ascii="Calibri" w:eastAsia="Calibri" w:hAnsi="Calibri" w:cs="Calibri"/>
        </w:rPr>
        <w:t xml:space="preserve">) </w:t>
      </w:r>
      <w:r w:rsidR="00461BBF" w:rsidRPr="008E442B">
        <w:rPr>
          <w:rFonts w:ascii="Calibri" w:eastAsia="Calibri" w:hAnsi="Calibri" w:cs="Calibri"/>
        </w:rPr>
        <w:t xml:space="preserve">(the “Company”), a global shipping company specializing in the ownership of </w:t>
      </w:r>
      <w:r w:rsidR="000512BA">
        <w:rPr>
          <w:rFonts w:ascii="Calibri" w:eastAsia="Calibri" w:hAnsi="Calibri" w:cs="Calibri"/>
        </w:rPr>
        <w:t xml:space="preserve">tanker </w:t>
      </w:r>
      <w:r w:rsidR="00461BBF" w:rsidRPr="008E442B">
        <w:rPr>
          <w:rFonts w:ascii="Calibri" w:eastAsia="Calibri" w:hAnsi="Calibri" w:cs="Calibri"/>
        </w:rPr>
        <w:t>ve</w:t>
      </w:r>
      <w:r w:rsidR="00461BBF">
        <w:rPr>
          <w:rFonts w:ascii="Calibri" w:eastAsia="Calibri" w:hAnsi="Calibri" w:cs="Calibri"/>
        </w:rPr>
        <w:t xml:space="preserve">ssels, today reported net </w:t>
      </w:r>
      <w:r w:rsidR="00AD3B7F">
        <w:rPr>
          <w:rFonts w:ascii="Calibri" w:eastAsia="Calibri" w:hAnsi="Calibri" w:cs="Calibri"/>
        </w:rPr>
        <w:t>loss</w:t>
      </w:r>
      <w:r w:rsidR="00DF2DF5">
        <w:rPr>
          <w:rFonts w:ascii="Calibri" w:eastAsia="Calibri" w:hAnsi="Calibri" w:cs="Calibri"/>
        </w:rPr>
        <w:t xml:space="preserve"> and net </w:t>
      </w:r>
      <w:r w:rsidR="00AD3B7F">
        <w:rPr>
          <w:rFonts w:ascii="Calibri" w:eastAsia="Calibri" w:hAnsi="Calibri" w:cs="Calibri"/>
        </w:rPr>
        <w:t>loss</w:t>
      </w:r>
      <w:r w:rsidR="00DF2DF5">
        <w:rPr>
          <w:rFonts w:ascii="Calibri" w:eastAsia="Calibri" w:hAnsi="Calibri" w:cs="Calibri"/>
        </w:rPr>
        <w:t xml:space="preserve"> </w:t>
      </w:r>
      <w:r w:rsidR="00F3740F" w:rsidRPr="00F3740F">
        <w:rPr>
          <w:rFonts w:ascii="Calibri" w:eastAsia="Calibri" w:hAnsi="Calibri" w:cs="Calibri"/>
        </w:rPr>
        <w:t>from continuing and discontinued operations</w:t>
      </w:r>
      <w:r w:rsidR="00F3740F">
        <w:rPr>
          <w:rFonts w:ascii="Calibri" w:eastAsia="Calibri" w:hAnsi="Calibri" w:cs="Calibri"/>
        </w:rPr>
        <w:t xml:space="preserve"> </w:t>
      </w:r>
      <w:r w:rsidR="00DF2DF5">
        <w:rPr>
          <w:rFonts w:ascii="Calibri" w:eastAsia="Calibri" w:hAnsi="Calibri" w:cs="Calibri"/>
        </w:rPr>
        <w:t>attributable to common stockholders</w:t>
      </w:r>
      <w:r w:rsidR="00461BBF" w:rsidRPr="008E442B">
        <w:rPr>
          <w:rFonts w:ascii="Calibri" w:eastAsia="Calibri" w:hAnsi="Calibri" w:cs="Calibri"/>
        </w:rPr>
        <w:t xml:space="preserve"> of $2.9 million for the first quarter</w:t>
      </w:r>
      <w:r w:rsidR="004C3C67">
        <w:rPr>
          <w:rFonts w:ascii="Calibri" w:eastAsia="Calibri" w:hAnsi="Calibri" w:cs="Calibri"/>
        </w:rPr>
        <w:t xml:space="preserve"> of 2021, compared to net income</w:t>
      </w:r>
      <w:r w:rsidR="00461BBF" w:rsidRPr="008E442B">
        <w:rPr>
          <w:rFonts w:ascii="Calibri" w:eastAsia="Calibri" w:hAnsi="Calibri" w:cs="Calibri"/>
        </w:rPr>
        <w:t xml:space="preserve"> </w:t>
      </w:r>
      <w:r w:rsidR="00DF2DF5">
        <w:rPr>
          <w:rFonts w:ascii="Calibri" w:eastAsia="Calibri" w:hAnsi="Calibri" w:cs="Calibri"/>
        </w:rPr>
        <w:t xml:space="preserve">and net </w:t>
      </w:r>
      <w:r w:rsidR="004C3C67">
        <w:rPr>
          <w:rFonts w:ascii="Calibri" w:eastAsia="Calibri" w:hAnsi="Calibri" w:cs="Calibri"/>
        </w:rPr>
        <w:t>income</w:t>
      </w:r>
      <w:r w:rsidR="00DF2DF5">
        <w:rPr>
          <w:rFonts w:ascii="Calibri" w:eastAsia="Calibri" w:hAnsi="Calibri" w:cs="Calibri"/>
        </w:rPr>
        <w:t xml:space="preserve"> </w:t>
      </w:r>
      <w:r w:rsidR="006133E8" w:rsidRPr="00F3740F">
        <w:rPr>
          <w:rFonts w:ascii="Calibri" w:eastAsia="Calibri" w:hAnsi="Calibri" w:cs="Calibri"/>
        </w:rPr>
        <w:t>from continuing and discontinued operations</w:t>
      </w:r>
      <w:r w:rsidR="006133E8">
        <w:rPr>
          <w:rFonts w:ascii="Calibri" w:eastAsia="Calibri" w:hAnsi="Calibri" w:cs="Calibri"/>
        </w:rPr>
        <w:t xml:space="preserve"> </w:t>
      </w:r>
      <w:r w:rsidR="00DF2DF5">
        <w:rPr>
          <w:rFonts w:ascii="Calibri" w:eastAsia="Calibri" w:hAnsi="Calibri" w:cs="Calibri"/>
        </w:rPr>
        <w:t>attributable to common stockholders</w:t>
      </w:r>
      <w:r w:rsidR="00DF2DF5" w:rsidRPr="008E442B">
        <w:rPr>
          <w:rFonts w:ascii="Calibri" w:eastAsia="Calibri" w:hAnsi="Calibri" w:cs="Calibri"/>
        </w:rPr>
        <w:t xml:space="preserve"> </w:t>
      </w:r>
      <w:r w:rsidR="00461BBF" w:rsidRPr="008E442B">
        <w:rPr>
          <w:rFonts w:ascii="Calibri" w:eastAsia="Calibri" w:hAnsi="Calibri" w:cs="Calibri"/>
        </w:rPr>
        <w:t>of $1.3</w:t>
      </w:r>
      <w:r w:rsidR="00F14F3A">
        <w:rPr>
          <w:rFonts w:ascii="Calibri" w:eastAsia="Calibri" w:hAnsi="Calibri" w:cs="Calibri"/>
        </w:rPr>
        <w:t xml:space="preserve"> million</w:t>
      </w:r>
      <w:r w:rsidR="00F11C8E">
        <w:rPr>
          <w:rFonts w:ascii="Calibri" w:eastAsia="Calibri" w:hAnsi="Calibri" w:cs="Calibri"/>
        </w:rPr>
        <w:t xml:space="preserve"> and $2.8 million, respectively,</w:t>
      </w:r>
      <w:r w:rsidR="00F14F3A">
        <w:rPr>
          <w:rFonts w:ascii="Calibri" w:eastAsia="Calibri" w:hAnsi="Calibri" w:cs="Calibri"/>
        </w:rPr>
        <w:t xml:space="preserve"> for the same period in</w:t>
      </w:r>
      <w:r w:rsidR="00461BBF" w:rsidRPr="008E442B">
        <w:rPr>
          <w:rFonts w:ascii="Calibri" w:eastAsia="Calibri" w:hAnsi="Calibri" w:cs="Calibri"/>
        </w:rPr>
        <w:t xml:space="preserve"> 2020. </w:t>
      </w:r>
      <w:r w:rsidR="000E1180">
        <w:rPr>
          <w:rFonts w:ascii="Calibri" w:eastAsia="Calibri" w:hAnsi="Calibri" w:cs="Calibri"/>
        </w:rPr>
        <w:t xml:space="preserve"> </w:t>
      </w:r>
      <w:r w:rsidR="00AD3B7F">
        <w:rPr>
          <w:rFonts w:ascii="Calibri" w:eastAsia="Calibri" w:hAnsi="Calibri" w:cs="Calibri"/>
        </w:rPr>
        <w:t>Loss</w:t>
      </w:r>
      <w:r w:rsidR="000E1180">
        <w:rPr>
          <w:rFonts w:ascii="Calibri" w:eastAsia="Calibri" w:hAnsi="Calibri" w:cs="Calibri"/>
        </w:rPr>
        <w:t xml:space="preserve"> per share</w:t>
      </w:r>
      <w:r w:rsidR="00AD3B7F">
        <w:rPr>
          <w:rFonts w:ascii="Calibri" w:eastAsia="Calibri" w:hAnsi="Calibri" w:cs="Calibri"/>
        </w:rPr>
        <w:t xml:space="preserve"> </w:t>
      </w:r>
      <w:r w:rsidR="00DF2DF5" w:rsidRPr="008E442B">
        <w:rPr>
          <w:rFonts w:ascii="Calibri" w:eastAsia="Calibri" w:hAnsi="Calibri" w:cs="Calibri"/>
        </w:rPr>
        <w:t>for the first quarter</w:t>
      </w:r>
      <w:r w:rsidR="00DF2DF5">
        <w:rPr>
          <w:rFonts w:ascii="Calibri" w:eastAsia="Calibri" w:hAnsi="Calibri" w:cs="Calibri"/>
        </w:rPr>
        <w:t xml:space="preserve"> of 2021 </w:t>
      </w:r>
      <w:r w:rsidR="00AD3B7F">
        <w:rPr>
          <w:rFonts w:ascii="Calibri" w:eastAsia="Calibri" w:hAnsi="Calibri" w:cs="Calibri"/>
        </w:rPr>
        <w:t>was</w:t>
      </w:r>
      <w:r w:rsidR="00DF2DF5">
        <w:rPr>
          <w:rFonts w:ascii="Calibri" w:eastAsia="Calibri" w:hAnsi="Calibri" w:cs="Calibri"/>
        </w:rPr>
        <w:t xml:space="preserve"> </w:t>
      </w:r>
      <w:r w:rsidR="000006D9">
        <w:rPr>
          <w:rFonts w:ascii="Calibri" w:eastAsia="Calibri" w:hAnsi="Calibri" w:cs="Calibri"/>
        </w:rPr>
        <w:t>$0.57</w:t>
      </w:r>
      <w:r w:rsidR="00DF2DF5">
        <w:rPr>
          <w:rFonts w:ascii="Calibri" w:eastAsia="Calibri" w:hAnsi="Calibri" w:cs="Calibri"/>
        </w:rPr>
        <w:t>, while</w:t>
      </w:r>
      <w:r w:rsidR="000E1180">
        <w:rPr>
          <w:rFonts w:ascii="Calibri" w:eastAsia="Calibri" w:hAnsi="Calibri" w:cs="Calibri"/>
        </w:rPr>
        <w:t xml:space="preserve"> </w:t>
      </w:r>
      <w:r w:rsidR="004C3C67">
        <w:rPr>
          <w:rFonts w:ascii="Calibri" w:eastAsia="Calibri" w:hAnsi="Calibri" w:cs="Calibri"/>
        </w:rPr>
        <w:t>earnings</w:t>
      </w:r>
      <w:r w:rsidR="000E1180">
        <w:rPr>
          <w:rFonts w:ascii="Calibri" w:eastAsia="Calibri" w:hAnsi="Calibri" w:cs="Calibri"/>
        </w:rPr>
        <w:t xml:space="preserve"> per share</w:t>
      </w:r>
      <w:r w:rsidR="00DF2DF5">
        <w:rPr>
          <w:rFonts w:ascii="Calibri" w:eastAsia="Calibri" w:hAnsi="Calibri" w:cs="Calibri"/>
        </w:rPr>
        <w:t xml:space="preserve"> </w:t>
      </w:r>
      <w:r w:rsidR="00DF2DF5" w:rsidRPr="008E442B">
        <w:rPr>
          <w:rFonts w:ascii="Calibri" w:eastAsia="Calibri" w:hAnsi="Calibri" w:cs="Calibri"/>
        </w:rPr>
        <w:t>for the first quarter</w:t>
      </w:r>
      <w:r w:rsidR="00DF2DF5">
        <w:rPr>
          <w:rFonts w:ascii="Calibri" w:eastAsia="Calibri" w:hAnsi="Calibri" w:cs="Calibri"/>
        </w:rPr>
        <w:t xml:space="preserve"> of 2020 was</w:t>
      </w:r>
      <w:r w:rsidR="000E1180">
        <w:rPr>
          <w:rFonts w:ascii="Calibri" w:eastAsia="Calibri" w:hAnsi="Calibri" w:cs="Calibri"/>
        </w:rPr>
        <w:t xml:space="preserve"> </w:t>
      </w:r>
      <w:r w:rsidR="000006D9">
        <w:rPr>
          <w:rFonts w:ascii="Calibri" w:eastAsia="Calibri" w:hAnsi="Calibri" w:cs="Calibri"/>
        </w:rPr>
        <w:t>$0.60</w:t>
      </w:r>
      <w:r>
        <w:rPr>
          <w:rFonts w:ascii="Calibri" w:eastAsia="Calibri" w:hAnsi="Calibri" w:cs="Calibri"/>
        </w:rPr>
        <w:t xml:space="preserve"> (basic) and $0.58 (diluted).</w:t>
      </w:r>
    </w:p>
    <w:p w14:paraId="60A42D11" w14:textId="585FD64C" w:rsidR="001F39FE" w:rsidRDefault="00885344" w:rsidP="00461BBF">
      <w:pPr>
        <w:pStyle w:val="Normal0"/>
        <w:ind w:right="-82"/>
        <w:jc w:val="both"/>
        <w:rPr>
          <w:rFonts w:ascii="Calibri" w:eastAsia="Calibri" w:hAnsi="Calibri" w:cs="Calibri"/>
        </w:rPr>
      </w:pPr>
      <w:r>
        <w:rPr>
          <w:rFonts w:ascii="Calibri" w:eastAsia="Calibri" w:hAnsi="Calibri" w:cs="Calibri"/>
        </w:rPr>
        <w:t>Voyage and t</w:t>
      </w:r>
      <w:r w:rsidRPr="003277BB">
        <w:rPr>
          <w:rFonts w:ascii="Calibri" w:eastAsia="Calibri" w:hAnsi="Calibri" w:cs="Calibri"/>
        </w:rPr>
        <w:t xml:space="preserve">ime charter revenues </w:t>
      </w:r>
      <w:r w:rsidR="006133E8" w:rsidRPr="00F3740F">
        <w:rPr>
          <w:rFonts w:ascii="Calibri" w:eastAsia="Calibri" w:hAnsi="Calibri" w:cs="Calibri"/>
        </w:rPr>
        <w:t>from continuing and discontinued operations</w:t>
      </w:r>
      <w:r w:rsidR="006133E8">
        <w:rPr>
          <w:rFonts w:ascii="Calibri" w:eastAsia="Calibri" w:hAnsi="Calibri" w:cs="Calibri"/>
        </w:rPr>
        <w:t xml:space="preserve"> </w:t>
      </w:r>
      <w:r w:rsidRPr="003277BB">
        <w:rPr>
          <w:rFonts w:ascii="Calibri" w:eastAsia="Calibri" w:hAnsi="Calibri" w:cs="Calibri"/>
        </w:rPr>
        <w:t xml:space="preserve">were </w:t>
      </w:r>
      <w:r w:rsidR="004C2C54">
        <w:rPr>
          <w:rFonts w:ascii="Calibri" w:eastAsia="Calibri" w:hAnsi="Calibri" w:cs="Calibri"/>
        </w:rPr>
        <w:t>$</w:t>
      </w:r>
      <w:r>
        <w:rPr>
          <w:rFonts w:ascii="Calibri" w:eastAsia="Calibri" w:hAnsi="Calibri" w:cs="Calibri"/>
        </w:rPr>
        <w:t>8.4</w:t>
      </w:r>
      <w:r w:rsidR="004C2C54">
        <w:rPr>
          <w:rFonts w:ascii="Calibri" w:eastAsia="Calibri" w:hAnsi="Calibri" w:cs="Calibri"/>
        </w:rPr>
        <w:t xml:space="preserve"> </w:t>
      </w:r>
      <w:r w:rsidRPr="003277BB">
        <w:rPr>
          <w:rFonts w:ascii="Calibri" w:eastAsia="Calibri" w:hAnsi="Calibri" w:cs="Calibri"/>
        </w:rPr>
        <w:t xml:space="preserve">million </w:t>
      </w:r>
      <w:r>
        <w:rPr>
          <w:rFonts w:ascii="Calibri" w:eastAsia="Calibri" w:hAnsi="Calibri" w:cs="Calibri"/>
        </w:rPr>
        <w:t>(</w:t>
      </w:r>
      <w:r w:rsidR="004C2C54">
        <w:rPr>
          <w:rFonts w:ascii="Calibri" w:eastAsia="Calibri" w:hAnsi="Calibri" w:cs="Calibri"/>
        </w:rPr>
        <w:t>$</w:t>
      </w:r>
      <w:r>
        <w:rPr>
          <w:rFonts w:ascii="Calibri" w:eastAsia="Calibri" w:hAnsi="Calibri" w:cs="Calibri"/>
        </w:rPr>
        <w:t>3.5</w:t>
      </w:r>
      <w:r w:rsidR="004C2C54">
        <w:rPr>
          <w:rFonts w:ascii="Calibri" w:eastAsia="Calibri" w:hAnsi="Calibri" w:cs="Calibri"/>
        </w:rPr>
        <w:t xml:space="preserve"> </w:t>
      </w:r>
      <w:r>
        <w:rPr>
          <w:rFonts w:ascii="Calibri" w:eastAsia="Calibri" w:hAnsi="Calibri" w:cs="Calibri"/>
        </w:rPr>
        <w:t xml:space="preserve">million </w:t>
      </w:r>
      <w:r w:rsidR="00920749">
        <w:rPr>
          <w:rFonts w:ascii="Calibri" w:eastAsia="Calibri" w:hAnsi="Calibri" w:cs="Calibri"/>
        </w:rPr>
        <w:t xml:space="preserve">net of voyage expenses) </w:t>
      </w:r>
      <w:r w:rsidRPr="003277BB">
        <w:rPr>
          <w:rFonts w:ascii="Calibri" w:eastAsia="Calibri" w:hAnsi="Calibri" w:cs="Calibri"/>
        </w:rPr>
        <w:t xml:space="preserve">for the first quarter of 2021, compared to $13.5 million </w:t>
      </w:r>
      <w:r>
        <w:rPr>
          <w:rFonts w:ascii="Calibri" w:eastAsia="Calibri" w:hAnsi="Calibri" w:cs="Calibri"/>
        </w:rPr>
        <w:t>(</w:t>
      </w:r>
      <w:r w:rsidRPr="003277BB">
        <w:rPr>
          <w:rFonts w:ascii="Calibri" w:eastAsia="Calibri" w:hAnsi="Calibri" w:cs="Calibri"/>
        </w:rPr>
        <w:t>$9.2</w:t>
      </w:r>
      <w:r w:rsidR="00D22EEE">
        <w:rPr>
          <w:rFonts w:ascii="Calibri" w:eastAsia="Calibri" w:hAnsi="Calibri" w:cs="Calibri"/>
        </w:rPr>
        <w:t xml:space="preserve"> </w:t>
      </w:r>
      <w:r w:rsidR="00920749">
        <w:rPr>
          <w:rFonts w:ascii="Calibri" w:eastAsia="Calibri" w:hAnsi="Calibri" w:cs="Calibri"/>
        </w:rPr>
        <w:t xml:space="preserve">million net of voyage expenses) </w:t>
      </w:r>
      <w:r w:rsidR="003E3298">
        <w:rPr>
          <w:rFonts w:ascii="Calibri" w:eastAsia="Calibri" w:hAnsi="Calibri" w:cs="Calibri"/>
        </w:rPr>
        <w:t>for the same period in</w:t>
      </w:r>
      <w:r w:rsidRPr="003277BB">
        <w:rPr>
          <w:rFonts w:ascii="Calibri" w:eastAsia="Calibri" w:hAnsi="Calibri" w:cs="Calibri"/>
        </w:rPr>
        <w:t xml:space="preserve"> 2020</w:t>
      </w:r>
      <w:r w:rsidR="004B61E2">
        <w:rPr>
          <w:rFonts w:ascii="Calibri" w:eastAsia="Calibri" w:hAnsi="Calibri" w:cs="Calibri"/>
        </w:rPr>
        <w:t>. This de</w:t>
      </w:r>
      <w:r w:rsidR="004A6E53">
        <w:rPr>
          <w:rFonts w:ascii="Calibri" w:eastAsia="Calibri" w:hAnsi="Calibri" w:cs="Calibri"/>
        </w:rPr>
        <w:t>crease was</w:t>
      </w:r>
      <w:r w:rsidRPr="003277BB">
        <w:rPr>
          <w:rFonts w:ascii="Calibri" w:eastAsia="Calibri" w:hAnsi="Calibri" w:cs="Calibri"/>
        </w:rPr>
        <w:t xml:space="preserve"> </w:t>
      </w:r>
      <w:r w:rsidR="000C50A2">
        <w:rPr>
          <w:rFonts w:ascii="Calibri" w:eastAsia="Calibri" w:hAnsi="Calibri" w:cs="Calibri"/>
        </w:rPr>
        <w:t xml:space="preserve">mainly </w:t>
      </w:r>
      <w:r w:rsidR="00920749">
        <w:rPr>
          <w:rFonts w:ascii="Calibri" w:eastAsia="Calibri" w:hAnsi="Calibri" w:cs="Calibri"/>
        </w:rPr>
        <w:t>attributable to the</w:t>
      </w:r>
      <w:r w:rsidRPr="003277BB">
        <w:rPr>
          <w:rFonts w:ascii="Calibri" w:eastAsia="Calibri" w:hAnsi="Calibri" w:cs="Calibri"/>
        </w:rPr>
        <w:t xml:space="preserve"> </w:t>
      </w:r>
      <w:r w:rsidR="00726C66">
        <w:rPr>
          <w:rFonts w:ascii="Calibri" w:eastAsia="Calibri" w:hAnsi="Calibri" w:cs="Calibri"/>
        </w:rPr>
        <w:t>de</w:t>
      </w:r>
      <w:r>
        <w:rPr>
          <w:rFonts w:ascii="Calibri" w:eastAsia="Calibri" w:hAnsi="Calibri" w:cs="Calibri"/>
        </w:rPr>
        <w:t>creased</w:t>
      </w:r>
      <w:r w:rsidR="00920749">
        <w:rPr>
          <w:rFonts w:ascii="Calibri" w:eastAsia="Calibri" w:hAnsi="Calibri" w:cs="Calibri"/>
        </w:rPr>
        <w:t xml:space="preserve"> time-charter equivalent rates (</w:t>
      </w:r>
      <w:r>
        <w:rPr>
          <w:rFonts w:ascii="Calibri" w:eastAsia="Calibri" w:hAnsi="Calibri" w:cs="Calibri"/>
        </w:rPr>
        <w:t>TCE rate</w:t>
      </w:r>
      <w:r w:rsidR="00920749">
        <w:rPr>
          <w:rFonts w:ascii="Calibri" w:eastAsia="Calibri" w:hAnsi="Calibri" w:cs="Calibri"/>
        </w:rPr>
        <w:t xml:space="preserve">s) </w:t>
      </w:r>
      <w:r w:rsidR="00726C66">
        <w:rPr>
          <w:rFonts w:ascii="Calibri" w:eastAsia="Calibri" w:hAnsi="Calibri" w:cs="Calibri"/>
        </w:rPr>
        <w:t>achieved during the quarter as a result of the depressed market conditions</w:t>
      </w:r>
      <w:r w:rsidR="002920E9">
        <w:rPr>
          <w:rFonts w:ascii="Calibri" w:eastAsia="Calibri" w:hAnsi="Calibri" w:cs="Calibri"/>
        </w:rPr>
        <w:t xml:space="preserve">. </w:t>
      </w:r>
      <w:r w:rsidR="009734C0">
        <w:rPr>
          <w:rFonts w:ascii="Calibri" w:eastAsia="Calibri" w:hAnsi="Calibri" w:cs="Calibri"/>
        </w:rPr>
        <w:t>Fleetwide, t</w:t>
      </w:r>
      <w:r w:rsidR="00920749">
        <w:rPr>
          <w:rFonts w:ascii="Calibri" w:eastAsia="Calibri" w:hAnsi="Calibri" w:cs="Calibri"/>
        </w:rPr>
        <w:t xml:space="preserve">he average time charter equivalent rate </w:t>
      </w:r>
      <w:r w:rsidR="00920749" w:rsidRPr="008E442B">
        <w:rPr>
          <w:rFonts w:ascii="Calibri" w:eastAsia="Calibri" w:hAnsi="Calibri" w:cs="Calibri"/>
        </w:rPr>
        <w:t>for the first quarter of 2021</w:t>
      </w:r>
      <w:r w:rsidR="001C7A73">
        <w:rPr>
          <w:rFonts w:ascii="Calibri" w:eastAsia="Calibri" w:hAnsi="Calibri" w:cs="Calibri"/>
        </w:rPr>
        <w:t xml:space="preserve"> was </w:t>
      </w:r>
      <w:r w:rsidRPr="008E442B">
        <w:rPr>
          <w:rFonts w:ascii="Calibri" w:eastAsia="Calibri" w:hAnsi="Calibri" w:cs="Calibri"/>
        </w:rPr>
        <w:t>$7,691</w:t>
      </w:r>
      <w:r w:rsidR="00920749">
        <w:rPr>
          <w:rFonts w:ascii="Calibri" w:eastAsia="Calibri" w:hAnsi="Calibri" w:cs="Calibri"/>
        </w:rPr>
        <w:t>, compared with</w:t>
      </w:r>
      <w:r w:rsidR="00794C3C">
        <w:rPr>
          <w:rFonts w:ascii="Calibri" w:eastAsia="Calibri" w:hAnsi="Calibri" w:cs="Calibri"/>
        </w:rPr>
        <w:t xml:space="preserve"> an average rate of</w:t>
      </w:r>
      <w:r w:rsidR="00920749">
        <w:rPr>
          <w:rFonts w:ascii="Calibri" w:eastAsia="Calibri" w:hAnsi="Calibri" w:cs="Calibri"/>
        </w:rPr>
        <w:t xml:space="preserve"> </w:t>
      </w:r>
      <w:r w:rsidRPr="008E442B">
        <w:rPr>
          <w:rFonts w:ascii="Calibri" w:eastAsia="Calibri" w:hAnsi="Calibri" w:cs="Calibri"/>
        </w:rPr>
        <w:t>$21,386</w:t>
      </w:r>
      <w:r>
        <w:rPr>
          <w:rFonts w:ascii="Calibri" w:eastAsia="Calibri" w:hAnsi="Calibri" w:cs="Calibri"/>
        </w:rPr>
        <w:t xml:space="preserve"> for the same period </w:t>
      </w:r>
      <w:r w:rsidR="00B87E16">
        <w:rPr>
          <w:rFonts w:ascii="Calibri" w:eastAsia="Calibri" w:hAnsi="Calibri" w:cs="Calibri"/>
        </w:rPr>
        <w:t>in</w:t>
      </w:r>
      <w:r>
        <w:rPr>
          <w:rFonts w:ascii="Calibri" w:eastAsia="Calibri" w:hAnsi="Calibri" w:cs="Calibri"/>
        </w:rPr>
        <w:t xml:space="preserve"> 2020</w:t>
      </w:r>
      <w:r w:rsidR="00920749">
        <w:rPr>
          <w:rFonts w:ascii="Calibri" w:eastAsia="Calibri" w:hAnsi="Calibri" w:cs="Calibri"/>
        </w:rPr>
        <w:t xml:space="preserve">. </w:t>
      </w:r>
      <w:r w:rsidR="00DB09ED">
        <w:rPr>
          <w:rFonts w:ascii="Calibri" w:eastAsia="Calibri" w:hAnsi="Calibri" w:cs="Calibri"/>
        </w:rPr>
        <w:t xml:space="preserve">During </w:t>
      </w:r>
      <w:r w:rsidR="00920749">
        <w:rPr>
          <w:rFonts w:ascii="Calibri" w:eastAsia="Calibri" w:hAnsi="Calibri" w:cs="Calibri"/>
        </w:rPr>
        <w:t xml:space="preserve">the </w:t>
      </w:r>
      <w:r w:rsidR="004B61E2">
        <w:rPr>
          <w:rFonts w:ascii="Calibri" w:eastAsia="Calibri" w:hAnsi="Calibri" w:cs="Calibri"/>
        </w:rPr>
        <w:t>f</w:t>
      </w:r>
      <w:r>
        <w:rPr>
          <w:rFonts w:ascii="Calibri" w:eastAsia="Calibri" w:hAnsi="Calibri" w:cs="Calibri"/>
        </w:rPr>
        <w:t>irst</w:t>
      </w:r>
      <w:r w:rsidR="00920749">
        <w:rPr>
          <w:rFonts w:ascii="Calibri" w:eastAsia="Calibri" w:hAnsi="Calibri" w:cs="Calibri"/>
        </w:rPr>
        <w:t xml:space="preserve"> quarter of 202</w:t>
      </w:r>
      <w:r>
        <w:rPr>
          <w:rFonts w:ascii="Calibri" w:eastAsia="Calibri" w:hAnsi="Calibri" w:cs="Calibri"/>
        </w:rPr>
        <w:t>1</w:t>
      </w:r>
      <w:r w:rsidR="00920749">
        <w:rPr>
          <w:rFonts w:ascii="Calibri" w:eastAsia="Calibri" w:hAnsi="Calibri" w:cs="Calibri"/>
        </w:rPr>
        <w:t xml:space="preserve">, net cash </w:t>
      </w:r>
      <w:r>
        <w:rPr>
          <w:rFonts w:ascii="Calibri" w:eastAsia="Calibri" w:hAnsi="Calibri" w:cs="Calibri"/>
        </w:rPr>
        <w:t xml:space="preserve">used in </w:t>
      </w:r>
      <w:r w:rsidR="00920749">
        <w:rPr>
          <w:rFonts w:ascii="Calibri" w:eastAsia="Calibri" w:hAnsi="Calibri" w:cs="Calibri"/>
        </w:rPr>
        <w:t xml:space="preserve">operating activities </w:t>
      </w:r>
      <w:r w:rsidR="006133E8">
        <w:rPr>
          <w:rFonts w:ascii="Calibri" w:eastAsia="Calibri" w:hAnsi="Calibri" w:cs="Calibri"/>
        </w:rPr>
        <w:t>of</w:t>
      </w:r>
      <w:r w:rsidR="006133E8" w:rsidRPr="00F3740F">
        <w:rPr>
          <w:rFonts w:ascii="Calibri" w:eastAsia="Calibri" w:hAnsi="Calibri" w:cs="Calibri"/>
        </w:rPr>
        <w:t xml:space="preserve"> continuing and discontinued operations</w:t>
      </w:r>
      <w:r w:rsidR="006133E8">
        <w:rPr>
          <w:rFonts w:ascii="Calibri" w:eastAsia="Calibri" w:hAnsi="Calibri" w:cs="Calibri"/>
        </w:rPr>
        <w:t xml:space="preserve"> </w:t>
      </w:r>
      <w:r w:rsidR="00920749">
        <w:rPr>
          <w:rFonts w:ascii="Calibri" w:eastAsia="Calibri" w:hAnsi="Calibri" w:cs="Calibri"/>
        </w:rPr>
        <w:t xml:space="preserve">was </w:t>
      </w:r>
      <w:r w:rsidRPr="008E442B">
        <w:rPr>
          <w:rFonts w:ascii="Calibri" w:eastAsia="Calibri" w:hAnsi="Calibri" w:cs="Calibri"/>
        </w:rPr>
        <w:t>$1.4</w:t>
      </w:r>
      <w:r>
        <w:rPr>
          <w:rFonts w:ascii="Calibri" w:eastAsia="Calibri" w:hAnsi="Calibri" w:cs="Calibri"/>
        </w:rPr>
        <w:t xml:space="preserve"> </w:t>
      </w:r>
      <w:r w:rsidR="00920749">
        <w:rPr>
          <w:rFonts w:ascii="Calibri" w:eastAsia="Calibri" w:hAnsi="Calibri" w:cs="Calibri"/>
        </w:rPr>
        <w:t xml:space="preserve">million, compared with </w:t>
      </w:r>
      <w:r w:rsidR="00D22EEE">
        <w:rPr>
          <w:rFonts w:ascii="Calibri" w:eastAsia="Calibri" w:hAnsi="Calibri" w:cs="Calibri"/>
        </w:rPr>
        <w:t xml:space="preserve">net cash </w:t>
      </w:r>
      <w:r>
        <w:rPr>
          <w:rFonts w:ascii="Calibri" w:eastAsia="Calibri" w:hAnsi="Calibri" w:cs="Calibri"/>
        </w:rPr>
        <w:t xml:space="preserve">provided by </w:t>
      </w:r>
      <w:r w:rsidR="00D22EEE">
        <w:rPr>
          <w:rFonts w:ascii="Calibri" w:eastAsia="Calibri" w:hAnsi="Calibri" w:cs="Calibri"/>
        </w:rPr>
        <w:t>operating activities</w:t>
      </w:r>
      <w:r w:rsidR="001D64F5">
        <w:rPr>
          <w:rFonts w:ascii="Calibri" w:eastAsia="Calibri" w:hAnsi="Calibri" w:cs="Calibri"/>
        </w:rPr>
        <w:t xml:space="preserve"> of</w:t>
      </w:r>
      <w:r w:rsidR="001D64F5" w:rsidRPr="00F3740F">
        <w:rPr>
          <w:rFonts w:ascii="Calibri" w:eastAsia="Calibri" w:hAnsi="Calibri" w:cs="Calibri"/>
        </w:rPr>
        <w:t xml:space="preserve"> continuing and discontinued operations</w:t>
      </w:r>
      <w:r w:rsidR="00D22EEE">
        <w:rPr>
          <w:rFonts w:ascii="Calibri" w:eastAsia="Calibri" w:hAnsi="Calibri" w:cs="Calibri"/>
        </w:rPr>
        <w:t xml:space="preserve"> of </w:t>
      </w:r>
      <w:r w:rsidRPr="008E442B">
        <w:rPr>
          <w:rFonts w:ascii="Calibri" w:eastAsia="Calibri" w:hAnsi="Calibri" w:cs="Calibri"/>
        </w:rPr>
        <w:t>$7.1</w:t>
      </w:r>
      <w:r>
        <w:rPr>
          <w:rFonts w:ascii="Calibri" w:eastAsia="Calibri" w:hAnsi="Calibri" w:cs="Calibri"/>
        </w:rPr>
        <w:t xml:space="preserve"> million </w:t>
      </w:r>
      <w:r w:rsidR="00920749">
        <w:rPr>
          <w:rFonts w:ascii="Calibri" w:eastAsia="Calibri" w:hAnsi="Calibri" w:cs="Calibri"/>
        </w:rPr>
        <w:t xml:space="preserve">for the </w:t>
      </w:r>
      <w:r w:rsidR="004B61E2">
        <w:rPr>
          <w:rFonts w:ascii="Calibri" w:eastAsia="Calibri" w:hAnsi="Calibri" w:cs="Calibri"/>
        </w:rPr>
        <w:t>f</w:t>
      </w:r>
      <w:r>
        <w:rPr>
          <w:rFonts w:ascii="Calibri" w:eastAsia="Calibri" w:hAnsi="Calibri" w:cs="Calibri"/>
        </w:rPr>
        <w:t>irst quarter of 2020</w:t>
      </w:r>
      <w:r w:rsidR="00920749">
        <w:rPr>
          <w:rFonts w:ascii="Calibri" w:eastAsia="Calibri" w:hAnsi="Calibri" w:cs="Calibri"/>
        </w:rPr>
        <w:t>.</w:t>
      </w:r>
    </w:p>
    <w:p w14:paraId="1561DE1D" w14:textId="77777777" w:rsidR="00025225" w:rsidRPr="00025225" w:rsidRDefault="00885344" w:rsidP="00025225">
      <w:pPr>
        <w:pStyle w:val="Normal0"/>
        <w:ind w:right="-82"/>
        <w:jc w:val="both"/>
        <w:rPr>
          <w:rFonts w:ascii="Calibri" w:eastAsia="Calibri" w:hAnsi="Calibri" w:cs="Calibri"/>
        </w:rPr>
      </w:pPr>
      <w:r w:rsidRPr="00025225">
        <w:rPr>
          <w:rFonts w:ascii="Calibri" w:eastAsia="Calibri" w:hAnsi="Calibri" w:cs="Calibri"/>
        </w:rPr>
        <w:t xml:space="preserve">Commenting on the results of the </w:t>
      </w:r>
      <w:r w:rsidR="002E146A">
        <w:rPr>
          <w:rFonts w:ascii="Calibri" w:eastAsia="Calibri" w:hAnsi="Calibri" w:cs="Calibri"/>
        </w:rPr>
        <w:t>first</w:t>
      </w:r>
      <w:r>
        <w:rPr>
          <w:rFonts w:ascii="Calibri" w:eastAsia="Calibri" w:hAnsi="Calibri" w:cs="Calibri"/>
        </w:rPr>
        <w:t xml:space="preserve"> </w:t>
      </w:r>
      <w:r w:rsidR="002E146A">
        <w:rPr>
          <w:rFonts w:ascii="Calibri" w:eastAsia="Calibri" w:hAnsi="Calibri" w:cs="Calibri"/>
        </w:rPr>
        <w:t>quarter of 2021</w:t>
      </w:r>
      <w:r w:rsidRPr="00025225">
        <w:rPr>
          <w:rFonts w:ascii="Calibri" w:eastAsia="Calibri" w:hAnsi="Calibri" w:cs="Calibri"/>
        </w:rPr>
        <w:t xml:space="preserve">, Mr. Andreas Michalopoulos, the Company’s </w:t>
      </w:r>
      <w:r w:rsidR="00056535">
        <w:rPr>
          <w:rFonts w:ascii="Calibri" w:eastAsia="Calibri" w:hAnsi="Calibri" w:cs="Calibri"/>
        </w:rPr>
        <w:t>Chief Executive Officer</w:t>
      </w:r>
      <w:r w:rsidR="00E03FFF">
        <w:rPr>
          <w:rFonts w:ascii="Calibri" w:eastAsia="Calibri" w:hAnsi="Calibri" w:cs="Calibri"/>
        </w:rPr>
        <w:t>,</w:t>
      </w:r>
      <w:r w:rsidR="00056535">
        <w:rPr>
          <w:rFonts w:ascii="Calibri" w:eastAsia="Calibri" w:hAnsi="Calibri" w:cs="Calibri"/>
        </w:rPr>
        <w:t xml:space="preserve"> </w:t>
      </w:r>
      <w:r w:rsidRPr="00025225">
        <w:rPr>
          <w:rFonts w:ascii="Calibri" w:eastAsia="Calibri" w:hAnsi="Calibri" w:cs="Calibri"/>
        </w:rPr>
        <w:t>stated:</w:t>
      </w:r>
    </w:p>
    <w:p w14:paraId="6692B874" w14:textId="77777777" w:rsidR="00B73CD0" w:rsidRPr="00366FA5" w:rsidRDefault="00B73CD0" w:rsidP="00366FA5">
      <w:pPr>
        <w:jc w:val="both"/>
        <w:rPr>
          <w:lang w:val="en-US"/>
        </w:rPr>
      </w:pPr>
      <w:r w:rsidRPr="00366FA5">
        <w:rPr>
          <w:lang w:val="en-US"/>
        </w:rPr>
        <w:t xml:space="preserve">“Spot charter rates during the first quarter of 2021 remained at very low levels, as a result of a combination of weak consumer and industrial demand coupled with low crude oil and refined petroleum products production. </w:t>
      </w:r>
      <w:r w:rsidR="00920CD1">
        <w:rPr>
          <w:lang w:val="en-US"/>
        </w:rPr>
        <w:t>Therefore, i</w:t>
      </w:r>
      <w:r w:rsidRPr="00366FA5">
        <w:rPr>
          <w:lang w:val="en-US"/>
        </w:rPr>
        <w:t>n accordance with our dividend policy, we will not declare and pay a dividend for our Q1 2021 results from operations. We expect spot charter rates</w:t>
      </w:r>
      <w:r w:rsidRPr="00B73CD0">
        <w:rPr>
          <w:lang w:val="en-US"/>
        </w:rPr>
        <w:t>,</w:t>
      </w:r>
      <w:r w:rsidRPr="00366FA5">
        <w:rPr>
          <w:lang w:val="en-US"/>
        </w:rPr>
        <w:t> which continue to be at very low levels</w:t>
      </w:r>
      <w:r w:rsidRPr="00B73CD0">
        <w:rPr>
          <w:lang w:val="en-US"/>
        </w:rPr>
        <w:t>,</w:t>
      </w:r>
      <w:r w:rsidRPr="00366FA5">
        <w:rPr>
          <w:lang w:val="en-US"/>
        </w:rPr>
        <w:t xml:space="preserve"> to gradually recover over the </w:t>
      </w:r>
      <w:r w:rsidR="00EC7FFD">
        <w:rPr>
          <w:lang w:val="en-US"/>
        </w:rPr>
        <w:t>successive</w:t>
      </w:r>
      <w:r w:rsidR="0010274F" w:rsidRPr="00366FA5">
        <w:rPr>
          <w:lang w:val="en-US"/>
        </w:rPr>
        <w:t xml:space="preserve"> </w:t>
      </w:r>
      <w:r w:rsidRPr="00366FA5">
        <w:rPr>
          <w:lang w:val="en-US"/>
        </w:rPr>
        <w:t>quarters of 2021 as the COVID-19 pandemic recedes and demand for crude oil and refined petroleum products recovers.</w:t>
      </w:r>
      <w:r w:rsidR="00920CD1">
        <w:rPr>
          <w:lang w:val="en-US"/>
        </w:rPr>
        <w:t xml:space="preserve"> </w:t>
      </w:r>
      <w:r w:rsidR="00920CD1" w:rsidRPr="00920CD1">
        <w:rPr>
          <w:lang w:val="en-US"/>
        </w:rPr>
        <w:t>During th</w:t>
      </w:r>
      <w:r w:rsidR="00667766">
        <w:rPr>
          <w:lang w:val="en-US"/>
        </w:rPr>
        <w:t>e first quarter of 2021, we beca</w:t>
      </w:r>
      <w:r w:rsidR="00920CD1" w:rsidRPr="00920CD1">
        <w:rPr>
          <w:lang w:val="en-US"/>
        </w:rPr>
        <w:t>me a signatory of the Neptune Declaration and the UN Global Compact</w:t>
      </w:r>
      <w:r w:rsidR="00667766">
        <w:rPr>
          <w:lang w:val="en-US"/>
        </w:rPr>
        <w:t>, and released our inaugural sustainability</w:t>
      </w:r>
      <w:r w:rsidR="00920CD1" w:rsidRPr="00920CD1">
        <w:rPr>
          <w:lang w:val="en-US"/>
        </w:rPr>
        <w:t xml:space="preserve"> report, which can be found on our website. We remain keenly focused on our ESG efforts</w:t>
      </w:r>
      <w:r w:rsidR="0010274F">
        <w:rPr>
          <w:lang w:val="en-US"/>
        </w:rPr>
        <w:t>,</w:t>
      </w:r>
      <w:r w:rsidR="00920CD1" w:rsidRPr="00920CD1">
        <w:rPr>
          <w:lang w:val="en-US"/>
        </w:rPr>
        <w:t xml:space="preserve"> which are an integral part of who we are, as we firmly believe they will meaningfully contribute to a better future for everyone”.</w:t>
      </w:r>
    </w:p>
    <w:p w14:paraId="25BB23A4" w14:textId="77777777" w:rsidR="00896E4D" w:rsidRDefault="00896E4D" w:rsidP="00D51170">
      <w:pPr>
        <w:pStyle w:val="Normal0"/>
        <w:ind w:right="-82"/>
        <w:jc w:val="both"/>
        <w:rPr>
          <w:rFonts w:ascii="Calibri" w:eastAsia="Calibri" w:hAnsi="Calibri" w:cs="Calibri"/>
          <w:b/>
          <w:u w:val="single"/>
        </w:rPr>
      </w:pPr>
    </w:p>
    <w:p w14:paraId="17531AD4" w14:textId="77777777" w:rsidR="00896E4D" w:rsidRDefault="00896E4D" w:rsidP="00D51170">
      <w:pPr>
        <w:pStyle w:val="Normal0"/>
        <w:ind w:right="-82"/>
        <w:jc w:val="both"/>
        <w:rPr>
          <w:rFonts w:ascii="Calibri" w:eastAsia="Calibri" w:hAnsi="Calibri" w:cs="Calibri"/>
          <w:b/>
          <w:u w:val="single"/>
        </w:rPr>
      </w:pPr>
    </w:p>
    <w:p w14:paraId="6A38FF18" w14:textId="77777777" w:rsidR="00D51170" w:rsidRDefault="00885344" w:rsidP="00D51170">
      <w:pPr>
        <w:pStyle w:val="Normal0"/>
        <w:ind w:right="-82"/>
        <w:jc w:val="both"/>
        <w:rPr>
          <w:rFonts w:ascii="Calibri" w:eastAsia="Calibri" w:hAnsi="Calibri" w:cs="Calibri"/>
          <w:b/>
          <w:u w:val="single"/>
        </w:rPr>
      </w:pPr>
      <w:r>
        <w:rPr>
          <w:rFonts w:ascii="Calibri" w:eastAsia="Calibri" w:hAnsi="Calibri" w:cs="Calibri"/>
          <w:b/>
          <w:u w:val="single"/>
        </w:rPr>
        <w:t>Tanker Market Update for the First Quarter 2021:</w:t>
      </w:r>
    </w:p>
    <w:p w14:paraId="279F31E2" w14:textId="77777777" w:rsidR="008D71E1" w:rsidRDefault="00885344" w:rsidP="008D71E1">
      <w:pPr>
        <w:pStyle w:val="ListParagraph"/>
        <w:numPr>
          <w:ilvl w:val="0"/>
          <w:numId w:val="1"/>
        </w:numPr>
        <w:ind w:left="567" w:hanging="283"/>
        <w:jc w:val="both"/>
        <w:rPr>
          <w:rFonts w:cs="Calibri"/>
        </w:rPr>
      </w:pPr>
      <w:r>
        <w:rPr>
          <w:rFonts w:cs="Calibri"/>
        </w:rPr>
        <w:t xml:space="preserve">Fleet supply was 647.6 million dwt, up 0.9% from 641.7 million dwt from the previous quarter, and up 2.9% from Q1 2020 levels of 629.2 million dwt. </w:t>
      </w:r>
    </w:p>
    <w:p w14:paraId="21496FBD" w14:textId="77777777" w:rsidR="008D71E1" w:rsidRDefault="00885344" w:rsidP="008D71E1">
      <w:pPr>
        <w:pStyle w:val="ListParagraph"/>
        <w:numPr>
          <w:ilvl w:val="0"/>
          <w:numId w:val="1"/>
        </w:numPr>
        <w:ind w:left="567" w:hanging="283"/>
        <w:jc w:val="both"/>
        <w:rPr>
          <w:rFonts w:cs="Calibri"/>
        </w:rPr>
      </w:pPr>
      <w:r>
        <w:rPr>
          <w:rFonts w:cs="Calibri"/>
        </w:rPr>
        <w:t>Tanker demand in billion tonne-miles is projected to increase by 4.1% in 2021, recovering from the lows experienced in 2020.</w:t>
      </w:r>
    </w:p>
    <w:p w14:paraId="195067D3" w14:textId="77777777" w:rsidR="003B7F69" w:rsidRDefault="003B7F69" w:rsidP="00401E49">
      <w:pPr>
        <w:pStyle w:val="ListParagraph"/>
        <w:numPr>
          <w:ilvl w:val="0"/>
          <w:numId w:val="1"/>
        </w:numPr>
        <w:ind w:left="567" w:hanging="283"/>
        <w:jc w:val="both"/>
        <w:rPr>
          <w:rFonts w:cs="Calibri"/>
        </w:rPr>
      </w:pPr>
      <w:r>
        <w:rPr>
          <w:rFonts w:cs="Calibri"/>
        </w:rPr>
        <w:t xml:space="preserve">Tanker </w:t>
      </w:r>
      <w:r w:rsidRPr="003B7F69">
        <w:rPr>
          <w:rFonts w:cs="Calibri"/>
        </w:rPr>
        <w:t>fleet supply in deadweight terms is estimated to grow by a moderate 3.0% in 2021</w:t>
      </w:r>
      <w:r>
        <w:rPr>
          <w:rFonts w:cs="Calibri"/>
        </w:rPr>
        <w:t>.</w:t>
      </w:r>
    </w:p>
    <w:p w14:paraId="3CABCC0A" w14:textId="77777777" w:rsidR="008D71E1" w:rsidRDefault="00885344" w:rsidP="008D71E1">
      <w:pPr>
        <w:pStyle w:val="ListParagraph"/>
        <w:numPr>
          <w:ilvl w:val="0"/>
          <w:numId w:val="1"/>
        </w:numPr>
        <w:ind w:left="567" w:hanging="283"/>
        <w:jc w:val="both"/>
        <w:rPr>
          <w:rFonts w:cs="Calibri"/>
        </w:rPr>
      </w:pPr>
      <w:r>
        <w:rPr>
          <w:rFonts w:cs="Calibri"/>
        </w:rPr>
        <w:t xml:space="preserve">Crude tanker fleet utilization was estimated at 82.0%, up from 79.6% from the previous quarter and down from Q1 2020 levels of 89.0%. </w:t>
      </w:r>
    </w:p>
    <w:p w14:paraId="25BF72ED" w14:textId="77777777" w:rsidR="008D71E1" w:rsidRDefault="00885344" w:rsidP="008D71E1">
      <w:pPr>
        <w:pStyle w:val="ListParagraph"/>
        <w:numPr>
          <w:ilvl w:val="0"/>
          <w:numId w:val="2"/>
        </w:numPr>
        <w:ind w:left="567" w:hanging="283"/>
        <w:jc w:val="both"/>
        <w:rPr>
          <w:rFonts w:cs="Calibri"/>
        </w:rPr>
      </w:pPr>
      <w:r>
        <w:rPr>
          <w:rFonts w:cs="Calibri"/>
        </w:rPr>
        <w:t xml:space="preserve">Newbuilding contracting at 9.7 million dwt resulted in the tanker orderbook remaining close to record low levels and representing 8.1% of the tanker fleet. </w:t>
      </w:r>
    </w:p>
    <w:p w14:paraId="3CA8B907" w14:textId="77777777" w:rsidR="008D71E1" w:rsidRDefault="00885344" w:rsidP="008D71E1">
      <w:pPr>
        <w:pStyle w:val="ListParagraph"/>
        <w:numPr>
          <w:ilvl w:val="0"/>
          <w:numId w:val="2"/>
        </w:numPr>
        <w:ind w:left="567" w:hanging="283"/>
        <w:jc w:val="both"/>
        <w:rPr>
          <w:rFonts w:cs="Calibri"/>
        </w:rPr>
      </w:pPr>
      <w:r>
        <w:rPr>
          <w:rFonts w:cs="Calibri"/>
        </w:rPr>
        <w:t>Daily spot charter rates for Aframax tankers averaged $10,527, up 84.3% from the previous quarter average of $5,713 and down 75.0% from Q1 2020 average of $41,610.     </w:t>
      </w:r>
    </w:p>
    <w:p w14:paraId="2FCF0D99" w14:textId="77777777" w:rsidR="008D71E1" w:rsidRDefault="00885344" w:rsidP="008D71E1">
      <w:pPr>
        <w:pStyle w:val="ListParagraph"/>
        <w:numPr>
          <w:ilvl w:val="0"/>
          <w:numId w:val="2"/>
        </w:numPr>
        <w:ind w:left="567" w:hanging="283"/>
        <w:jc w:val="both"/>
        <w:rPr>
          <w:rFonts w:cs="Calibri"/>
        </w:rPr>
      </w:pPr>
      <w:r>
        <w:rPr>
          <w:rFonts w:cs="Calibri"/>
        </w:rPr>
        <w:t>The value of a 10-year-old Aframax tanker ended the quarter at $23.5 million, up 14.6% from the previous quarter assessed value of $20.5 million, and down 24.2% from Q1 2020 assessed value of $31.0 million.</w:t>
      </w:r>
      <w:r>
        <w:rPr>
          <w:rFonts w:cs="Calibri"/>
        </w:rPr>
        <w:tab/>
      </w:r>
    </w:p>
    <w:p w14:paraId="35496812" w14:textId="77777777" w:rsidR="008D71E1" w:rsidRDefault="00885344" w:rsidP="008D71E1">
      <w:pPr>
        <w:pStyle w:val="ListParagraph"/>
        <w:numPr>
          <w:ilvl w:val="0"/>
          <w:numId w:val="2"/>
        </w:numPr>
        <w:ind w:left="567" w:hanging="283"/>
        <w:jc w:val="both"/>
        <w:rPr>
          <w:rFonts w:cs="Calibri"/>
        </w:rPr>
      </w:pPr>
      <w:r>
        <w:rPr>
          <w:rFonts w:cs="Calibri"/>
        </w:rPr>
        <w:t xml:space="preserve">Tankers used for floating storage (excluding dedicated storage) was 180 (28.7 million dwt), down 21.4% from 229 (37.8 million dwt) from the previous quarter and up 176.9% from Q1 2020 levels of 65 (15.9 million dwt). </w:t>
      </w:r>
    </w:p>
    <w:p w14:paraId="5C2A4AF0" w14:textId="77777777" w:rsidR="008D71E1" w:rsidRDefault="00885344" w:rsidP="008D71E1">
      <w:pPr>
        <w:pStyle w:val="ListParagraph"/>
        <w:numPr>
          <w:ilvl w:val="0"/>
          <w:numId w:val="2"/>
        </w:numPr>
        <w:ind w:left="567" w:hanging="283"/>
        <w:jc w:val="both"/>
        <w:rPr>
          <w:rFonts w:cs="Calibri"/>
        </w:rPr>
      </w:pPr>
      <w:r>
        <w:rPr>
          <w:rFonts w:cs="Calibri"/>
        </w:rPr>
        <w:t xml:space="preserve">Global oil consumption was 94.8 million bpd, down 0.7% from the previous quarter level of 95.4 million bpd, and down 0.7% from Q1 2020 levels of 95.4 million bpd. </w:t>
      </w:r>
    </w:p>
    <w:p w14:paraId="5D89AF34" w14:textId="77777777" w:rsidR="008D71E1" w:rsidRDefault="00885344" w:rsidP="008D71E1">
      <w:pPr>
        <w:pStyle w:val="ListParagraph"/>
        <w:numPr>
          <w:ilvl w:val="0"/>
          <w:numId w:val="2"/>
        </w:numPr>
        <w:ind w:left="567" w:hanging="283"/>
        <w:jc w:val="both"/>
        <w:rPr>
          <w:rFonts w:cs="Calibri"/>
        </w:rPr>
      </w:pPr>
      <w:r>
        <w:rPr>
          <w:rFonts w:cs="Calibri"/>
        </w:rPr>
        <w:t xml:space="preserve">Global oil production was 92.5 million bpd, up 0.2% from the previous quarter level of 92.4 million bpd and down 7.8% from Q1 2020 levels of 100.3 million bpd. </w:t>
      </w:r>
    </w:p>
    <w:p w14:paraId="06134BD0" w14:textId="77777777" w:rsidR="008D71E1" w:rsidRDefault="00885344" w:rsidP="008D71E1">
      <w:pPr>
        <w:pStyle w:val="ListParagraph"/>
        <w:numPr>
          <w:ilvl w:val="0"/>
          <w:numId w:val="2"/>
        </w:numPr>
        <w:ind w:left="567" w:hanging="283"/>
        <w:jc w:val="both"/>
        <w:rPr>
          <w:rFonts w:cs="Calibri"/>
        </w:rPr>
      </w:pPr>
      <w:r>
        <w:rPr>
          <w:rFonts w:cs="Calibri"/>
        </w:rPr>
        <w:t xml:space="preserve">OECD commercial inventories were 2,922.7 million barrels, down 3.4% from the previous quarter level of 3,025.8 million barrels, and down 1.4% from Q1 2020 levels of 2,962.8 million barrels. </w:t>
      </w:r>
    </w:p>
    <w:p w14:paraId="2D502FF3" w14:textId="77777777" w:rsidR="004875E7" w:rsidRPr="00D62635" w:rsidRDefault="004875E7" w:rsidP="00EA0CF6">
      <w:pPr>
        <w:widowControl w:val="0"/>
        <w:autoSpaceDE w:val="0"/>
        <w:autoSpaceDN w:val="0"/>
        <w:adjustRightInd w:val="0"/>
        <w:spacing w:after="0" w:line="240" w:lineRule="auto"/>
        <w:ind w:left="567"/>
        <w:jc w:val="both"/>
        <w:rPr>
          <w:rFonts w:cs="Calibri"/>
          <w:lang w:val="en-US"/>
        </w:rPr>
      </w:pPr>
    </w:p>
    <w:p w14:paraId="784C3865" w14:textId="77777777" w:rsidR="007862BC" w:rsidRPr="007862BC" w:rsidRDefault="00885344" w:rsidP="00025225">
      <w:pPr>
        <w:pStyle w:val="Normal0"/>
        <w:ind w:right="-82"/>
        <w:jc w:val="both"/>
        <w:rPr>
          <w:rFonts w:ascii="Calibri" w:eastAsia="Calibri" w:hAnsi="Calibri" w:cs="Calibri"/>
          <w:b/>
          <w:u w:val="single"/>
        </w:rPr>
      </w:pPr>
      <w:r>
        <w:rPr>
          <w:rFonts w:ascii="Calibri" w:eastAsia="Calibri" w:hAnsi="Calibri" w:cs="Calibri"/>
          <w:b/>
          <w:u w:val="single"/>
        </w:rPr>
        <w:t xml:space="preserve">Novel </w:t>
      </w:r>
      <w:r w:rsidR="00DE4CD2">
        <w:rPr>
          <w:rFonts w:ascii="Calibri" w:eastAsia="Calibri" w:hAnsi="Calibri" w:cs="Calibri"/>
          <w:b/>
          <w:u w:val="single"/>
        </w:rPr>
        <w:t>Coronavirus R</w:t>
      </w:r>
      <w:r w:rsidR="00DE4CD2" w:rsidRPr="007862BC">
        <w:rPr>
          <w:rFonts w:ascii="Calibri" w:eastAsia="Calibri" w:hAnsi="Calibri" w:cs="Calibri"/>
          <w:b/>
          <w:u w:val="single"/>
        </w:rPr>
        <w:t>isks:</w:t>
      </w:r>
      <w:r w:rsidR="00876555">
        <w:rPr>
          <w:rFonts w:ascii="Calibri" w:eastAsia="Calibri" w:hAnsi="Calibri" w:cs="Calibri"/>
          <w:b/>
          <w:u w:val="single"/>
        </w:rPr>
        <w:t xml:space="preserve"> </w:t>
      </w:r>
    </w:p>
    <w:p w14:paraId="1F1C6099" w14:textId="77777777" w:rsidR="0049268E" w:rsidRDefault="00885344" w:rsidP="00876555">
      <w:pPr>
        <w:jc w:val="both"/>
        <w:rPr>
          <w:lang w:val="en-US"/>
        </w:rPr>
      </w:pPr>
      <w:r w:rsidRPr="00667766">
        <w:rPr>
          <w:lang w:val="en-US"/>
        </w:rPr>
        <w:t xml:space="preserve">On March 11, 2020, the World Health Organization declared the novel coronavirus (“COVID-19”) outbreak a pandemic. In response to the outbreak, many countries, ports and organizations, including those where the Company conducts a large part of its operations, have implemented measures to combat the outbreak, such as quarantines, travel restrictions, and other emergency public health measures in an effort to contain the outbreak. </w:t>
      </w:r>
      <w:r w:rsidRPr="00876555">
        <w:rPr>
          <w:lang w:val="en-US"/>
        </w:rPr>
        <w:t>Such measures have resulted in a significant reduction in global economic activity and extreme volatility in the global financial markets, which has reduced the global demand for oil and oil products, which the Company’s vessels transport</w:t>
      </w:r>
      <w:r w:rsidR="00876555">
        <w:rPr>
          <w:lang w:val="en-US"/>
        </w:rPr>
        <w:t>.</w:t>
      </w:r>
      <w:r w:rsidR="00876555" w:rsidRPr="00876555">
        <w:rPr>
          <w:lang w:val="en-US"/>
        </w:rPr>
        <w:t xml:space="preserve"> </w:t>
      </w:r>
    </w:p>
    <w:p w14:paraId="1EB28242" w14:textId="77777777" w:rsidR="00876555" w:rsidRPr="00876555" w:rsidRDefault="00876555" w:rsidP="00876555">
      <w:pPr>
        <w:jc w:val="both"/>
        <w:rPr>
          <w:lang w:val="en-US"/>
        </w:rPr>
      </w:pPr>
      <w:r w:rsidRPr="00876555">
        <w:rPr>
          <w:lang w:val="en-US"/>
        </w:rPr>
        <w:t>Despite the global gr</w:t>
      </w:r>
      <w:r>
        <w:rPr>
          <w:lang w:val="en-US"/>
        </w:rPr>
        <w:t>adual recovery from COVID-19, the Company</w:t>
      </w:r>
      <w:r w:rsidRPr="00876555">
        <w:rPr>
          <w:lang w:val="en-US"/>
        </w:rPr>
        <w:t xml:space="preserve"> continue</w:t>
      </w:r>
      <w:r>
        <w:rPr>
          <w:lang w:val="en-US"/>
        </w:rPr>
        <w:t>s</w:t>
      </w:r>
      <w:r w:rsidRPr="00876555">
        <w:rPr>
          <w:lang w:val="en-US"/>
        </w:rPr>
        <w:t xml:space="preserve"> to take proactive measures to ensure the health and </w:t>
      </w:r>
      <w:r w:rsidR="0049268E">
        <w:rPr>
          <w:lang w:val="en-US"/>
        </w:rPr>
        <w:t>wellness of its</w:t>
      </w:r>
      <w:r w:rsidRPr="00876555">
        <w:rPr>
          <w:lang w:val="en-US"/>
        </w:rPr>
        <w:t xml:space="preserve"> crew and onshore employees while maintaining effective business continuity and uninterrupted service to </w:t>
      </w:r>
      <w:r>
        <w:rPr>
          <w:lang w:val="en-US"/>
        </w:rPr>
        <w:t>its</w:t>
      </w:r>
      <w:r w:rsidRPr="00876555">
        <w:rPr>
          <w:lang w:val="en-US"/>
        </w:rPr>
        <w:t xml:space="preserve"> customers. The o</w:t>
      </w:r>
      <w:r>
        <w:rPr>
          <w:lang w:val="en-US"/>
        </w:rPr>
        <w:t>verall impact of COVID-19 on the Company’s</w:t>
      </w:r>
      <w:r w:rsidRPr="00876555">
        <w:rPr>
          <w:lang w:val="en-US"/>
        </w:rPr>
        <w:t xml:space="preserve"> business, and</w:t>
      </w:r>
      <w:r>
        <w:rPr>
          <w:lang w:val="en-US"/>
        </w:rPr>
        <w:t xml:space="preserve"> the efficacy of any measures the Company</w:t>
      </w:r>
      <w:r w:rsidRPr="00876555">
        <w:rPr>
          <w:lang w:val="en-US"/>
        </w:rPr>
        <w:t xml:space="preserve"> take</w:t>
      </w:r>
      <w:r>
        <w:rPr>
          <w:lang w:val="en-US"/>
        </w:rPr>
        <w:t>s</w:t>
      </w:r>
      <w:r w:rsidRPr="00876555">
        <w:rPr>
          <w:lang w:val="en-US"/>
        </w:rPr>
        <w:t xml:space="preserve"> in response to the challenges presented by the COVID-19 pandemic, will depend on how the outbreak further develops, the duration and extent of the restrictive measures that are associated with the pandemic and their impact on global economy and trade, which is still uncertain.</w:t>
      </w:r>
    </w:p>
    <w:p w14:paraId="413BEC0D" w14:textId="77777777" w:rsidR="00920CD1" w:rsidRDefault="00920CD1" w:rsidP="00A56BC5">
      <w:pPr>
        <w:pStyle w:val="Normal00"/>
        <w:jc w:val="both"/>
        <w:rPr>
          <w:rFonts w:eastAsia="Calibri"/>
        </w:rPr>
      </w:pPr>
    </w:p>
    <w:tbl>
      <w:tblPr>
        <w:tblStyle w:val="CDMRange1"/>
        <w:tblW w:w="10365" w:type="dxa"/>
        <w:tblLayout w:type="fixed"/>
        <w:tblLook w:val="0600" w:firstRow="0" w:lastRow="0" w:firstColumn="0" w:lastColumn="0" w:noHBand="1" w:noVBand="1"/>
      </w:tblPr>
      <w:tblGrid>
        <w:gridCol w:w="195"/>
        <w:gridCol w:w="4830"/>
        <w:gridCol w:w="180"/>
        <w:gridCol w:w="2490"/>
        <w:gridCol w:w="180"/>
        <w:gridCol w:w="2490"/>
      </w:tblGrid>
      <w:tr w:rsidR="00B101BD" w:rsidRPr="00EF096F" w14:paraId="7D6A2AD8" w14:textId="77777777">
        <w:trPr>
          <w:trHeight w:hRule="exact" w:val="345"/>
        </w:trPr>
        <w:tc>
          <w:tcPr>
            <w:tcW w:w="10365" w:type="dxa"/>
            <w:gridSpan w:val="6"/>
            <w:tcBorders>
              <w:top w:val="nil"/>
              <w:left w:val="nil"/>
              <w:bottom w:val="nil"/>
              <w:right w:val="nil"/>
              <w:tl2br w:val="nil"/>
              <w:tr2bl w:val="nil"/>
            </w:tcBorders>
            <w:shd w:val="clear" w:color="auto" w:fill="auto"/>
            <w:noWrap/>
            <w:tcMar>
              <w:left w:w="40" w:type="dxa"/>
              <w:right w:w="40" w:type="dxa"/>
            </w:tcMar>
            <w:vAlign w:val="bottom"/>
          </w:tcPr>
          <w:p w14:paraId="32DB92E7" w14:textId="77777777" w:rsidR="00B101BD" w:rsidRDefault="00885344">
            <w:pPr>
              <w:pageBreakBefore/>
              <w:spacing w:after="0" w:line="240" w:lineRule="auto"/>
              <w:rPr>
                <w:rFonts w:ascii="Calibri" w:eastAsia="Calibri" w:hAnsi="Calibri" w:cs="Calibri"/>
                <w:b/>
                <w:color w:val="000000"/>
                <w:lang w:val="en-US"/>
              </w:rPr>
            </w:pPr>
            <w:r w:rsidRPr="00FF4909">
              <w:rPr>
                <w:rFonts w:ascii="Calibri" w:eastAsia="Calibri" w:hAnsi="Calibri" w:cs="Calibri"/>
                <w:b/>
                <w:color w:val="000000"/>
                <w:lang w:val="en-US"/>
              </w:rPr>
              <w:lastRenderedPageBreak/>
              <w:t>Summary of Selected Financial &amp; Other Data</w:t>
            </w:r>
          </w:p>
          <w:p w14:paraId="2C9F7C24" w14:textId="77777777" w:rsidR="00754C43" w:rsidRPr="00FF4909" w:rsidRDefault="00754C43">
            <w:pPr>
              <w:pageBreakBefore/>
              <w:spacing w:after="0" w:line="240" w:lineRule="auto"/>
              <w:rPr>
                <w:rFonts w:ascii="Calibri" w:eastAsia="Calibri" w:hAnsi="Calibri" w:cs="Calibri"/>
                <w:b/>
                <w:color w:val="000000"/>
                <w:lang w:val="en-US"/>
              </w:rPr>
            </w:pPr>
          </w:p>
        </w:tc>
      </w:tr>
      <w:tr w:rsidR="00B101BD" w:rsidRPr="00EF096F" w14:paraId="086912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95" w:type="dxa"/>
            <w:tcBorders>
              <w:top w:val="nil"/>
              <w:left w:val="nil"/>
              <w:bottom w:val="nil"/>
              <w:right w:val="nil"/>
              <w:tl2br w:val="nil"/>
              <w:tr2bl w:val="nil"/>
            </w:tcBorders>
            <w:shd w:val="clear" w:color="auto" w:fill="auto"/>
            <w:tcMar>
              <w:left w:w="0" w:type="dxa"/>
              <w:right w:w="0" w:type="dxa"/>
            </w:tcMar>
            <w:vAlign w:val="bottom"/>
          </w:tcPr>
          <w:p w14:paraId="6CFAA264"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4830" w:type="dxa"/>
            <w:tcBorders>
              <w:top w:val="nil"/>
              <w:left w:val="nil"/>
              <w:bottom w:val="nil"/>
              <w:right w:val="nil"/>
              <w:tl2br w:val="nil"/>
              <w:tr2bl w:val="nil"/>
            </w:tcBorders>
            <w:shd w:val="clear" w:color="auto" w:fill="auto"/>
            <w:noWrap/>
            <w:tcMar>
              <w:left w:w="0" w:type="dxa"/>
              <w:right w:w="0" w:type="dxa"/>
            </w:tcMar>
            <w:vAlign w:val="bottom"/>
          </w:tcPr>
          <w:p w14:paraId="6634D554" w14:textId="77777777" w:rsidR="00B101BD" w:rsidRPr="00FF4909" w:rsidRDefault="00B101BD">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3E8F33A"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160" w:type="dxa"/>
            <w:gridSpan w:val="3"/>
            <w:tcBorders>
              <w:top w:val="nil"/>
              <w:left w:val="nil"/>
              <w:bottom w:val="nil"/>
              <w:right w:val="nil"/>
              <w:tl2br w:val="nil"/>
              <w:tr2bl w:val="nil"/>
            </w:tcBorders>
            <w:shd w:val="clear" w:color="auto" w:fill="auto"/>
            <w:tcMar>
              <w:left w:w="40" w:type="dxa"/>
              <w:right w:w="40" w:type="dxa"/>
            </w:tcMar>
            <w:vAlign w:val="bottom"/>
          </w:tcPr>
          <w:p w14:paraId="6AC7A746" w14:textId="77777777" w:rsidR="00B101BD" w:rsidRPr="00FF4909" w:rsidRDefault="00885344">
            <w:pPr>
              <w:spacing w:after="0" w:line="240" w:lineRule="auto"/>
              <w:jc w:val="center"/>
              <w:rPr>
                <w:rFonts w:ascii="Calibri" w:eastAsia="Calibri" w:hAnsi="Calibri" w:cs="Calibri"/>
                <w:b/>
                <w:color w:val="000000"/>
                <w:sz w:val="18"/>
                <w:lang w:val="en-US"/>
              </w:rPr>
            </w:pPr>
            <w:r w:rsidRPr="00FF4909">
              <w:rPr>
                <w:rFonts w:ascii="Calibri" w:eastAsia="Calibri" w:hAnsi="Calibri" w:cs="Calibri"/>
                <w:b/>
                <w:color w:val="000000"/>
                <w:sz w:val="18"/>
                <w:lang w:val="en-US"/>
              </w:rPr>
              <w:t>For the three months ended March 31,</w:t>
            </w:r>
          </w:p>
        </w:tc>
      </w:tr>
      <w:tr w:rsidR="00B101BD" w14:paraId="10FA3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207061A"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4830" w:type="dxa"/>
            <w:tcBorders>
              <w:top w:val="nil"/>
              <w:left w:val="nil"/>
              <w:bottom w:val="nil"/>
              <w:right w:val="nil"/>
              <w:tl2br w:val="nil"/>
              <w:tr2bl w:val="nil"/>
            </w:tcBorders>
            <w:shd w:val="clear" w:color="auto" w:fill="auto"/>
            <w:noWrap/>
            <w:tcMar>
              <w:left w:w="0" w:type="dxa"/>
              <w:right w:w="0" w:type="dxa"/>
            </w:tcMar>
            <w:vAlign w:val="bottom"/>
          </w:tcPr>
          <w:p w14:paraId="2281F9A6" w14:textId="77777777" w:rsidR="00B101BD" w:rsidRPr="00FF4909" w:rsidRDefault="00B101BD">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F5325DA"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2490" w:type="dxa"/>
            <w:tcBorders>
              <w:top w:val="nil"/>
              <w:left w:val="nil"/>
              <w:bottom w:val="single" w:sz="4" w:space="0" w:color="000000"/>
              <w:right w:val="nil"/>
              <w:tl2br w:val="nil"/>
              <w:tr2bl w:val="nil"/>
            </w:tcBorders>
            <w:shd w:val="clear" w:color="auto" w:fill="auto"/>
            <w:tcMar>
              <w:left w:w="40" w:type="dxa"/>
              <w:right w:w="40" w:type="dxa"/>
            </w:tcMar>
            <w:vAlign w:val="bottom"/>
          </w:tcPr>
          <w:p w14:paraId="63E00026" w14:textId="77777777" w:rsidR="00B101BD" w:rsidRDefault="00885344">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37297A2" w14:textId="77777777" w:rsidR="00B101BD" w:rsidRDefault="00B101BD">
            <w:pPr>
              <w:spacing w:after="0" w:line="240" w:lineRule="auto"/>
              <w:jc w:val="center"/>
              <w:rPr>
                <w:rFonts w:ascii="Calibri" w:eastAsia="Calibri" w:hAnsi="Calibri" w:cs="Calibri"/>
                <w:b/>
                <w:color w:val="000000"/>
                <w:sz w:val="20"/>
              </w:rPr>
            </w:pPr>
          </w:p>
        </w:tc>
        <w:tc>
          <w:tcPr>
            <w:tcW w:w="2490" w:type="dxa"/>
            <w:tcBorders>
              <w:top w:val="nil"/>
              <w:left w:val="nil"/>
              <w:bottom w:val="single" w:sz="4" w:space="0" w:color="000000"/>
              <w:right w:val="nil"/>
              <w:tl2br w:val="nil"/>
              <w:tr2bl w:val="nil"/>
            </w:tcBorders>
            <w:shd w:val="clear" w:color="auto" w:fill="auto"/>
            <w:tcMar>
              <w:left w:w="40" w:type="dxa"/>
              <w:right w:w="40" w:type="dxa"/>
            </w:tcMar>
            <w:vAlign w:val="bottom"/>
          </w:tcPr>
          <w:p w14:paraId="7E2FF5EB" w14:textId="77777777" w:rsidR="00B101BD" w:rsidRDefault="00885344">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r>
      <w:tr w:rsidR="00B101BD" w14:paraId="5D4208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933FE57" w14:textId="77777777" w:rsidR="00B101BD" w:rsidRDefault="00B101BD">
            <w:pPr>
              <w:spacing w:after="0" w:line="240" w:lineRule="auto"/>
              <w:jc w:val="center"/>
              <w:rPr>
                <w:rFonts w:ascii="Calibri" w:eastAsia="Calibri" w:hAnsi="Calibri" w:cs="Calibri"/>
                <w:b/>
                <w:color w:val="000000"/>
                <w:sz w:val="20"/>
              </w:rPr>
            </w:pPr>
          </w:p>
        </w:tc>
        <w:tc>
          <w:tcPr>
            <w:tcW w:w="4830" w:type="dxa"/>
            <w:tcBorders>
              <w:top w:val="nil"/>
              <w:left w:val="nil"/>
              <w:bottom w:val="nil"/>
              <w:right w:val="nil"/>
              <w:tl2br w:val="nil"/>
              <w:tr2bl w:val="nil"/>
            </w:tcBorders>
            <w:shd w:val="clear" w:color="auto" w:fill="auto"/>
            <w:noWrap/>
            <w:tcMar>
              <w:left w:w="0" w:type="dxa"/>
              <w:right w:w="0" w:type="dxa"/>
            </w:tcMar>
            <w:vAlign w:val="bottom"/>
          </w:tcPr>
          <w:p w14:paraId="0AB12E52"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A4AA3AE" w14:textId="77777777" w:rsidR="00B101BD" w:rsidRDefault="00B101BD">
            <w:pPr>
              <w:spacing w:after="0" w:line="240" w:lineRule="auto"/>
              <w:jc w:val="center"/>
              <w:rPr>
                <w:rFonts w:ascii="Calibri" w:eastAsia="Calibri" w:hAnsi="Calibri" w:cs="Calibri"/>
                <w:color w:val="000000"/>
                <w:sz w:val="20"/>
              </w:rPr>
            </w:pPr>
          </w:p>
        </w:tc>
        <w:tc>
          <w:tcPr>
            <w:tcW w:w="249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C762447"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B5A7802" w14:textId="77777777" w:rsidR="00B101BD" w:rsidRDefault="00B101BD">
            <w:pPr>
              <w:spacing w:after="0" w:line="240" w:lineRule="auto"/>
              <w:jc w:val="center"/>
              <w:rPr>
                <w:rFonts w:ascii="Calibri" w:eastAsia="Calibri" w:hAnsi="Calibri" w:cs="Calibri"/>
                <w:color w:val="000000"/>
                <w:sz w:val="20"/>
              </w:rPr>
            </w:pPr>
          </w:p>
        </w:tc>
        <w:tc>
          <w:tcPr>
            <w:tcW w:w="249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8BAB1C0"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B101BD" w:rsidRPr="00EF096F" w14:paraId="703DA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65" w:type="dxa"/>
            <w:gridSpan w:val="6"/>
            <w:tcBorders>
              <w:top w:val="nil"/>
              <w:left w:val="nil"/>
              <w:bottom w:val="nil"/>
              <w:right w:val="nil"/>
              <w:tl2br w:val="nil"/>
              <w:tr2bl w:val="nil"/>
            </w:tcBorders>
            <w:shd w:val="clear" w:color="auto" w:fill="auto"/>
            <w:tcMar>
              <w:left w:w="40" w:type="dxa"/>
              <w:right w:w="40" w:type="dxa"/>
            </w:tcMar>
            <w:vAlign w:val="bottom"/>
          </w:tcPr>
          <w:p w14:paraId="494B7E6B"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STATEMENT OF OPERATIONS DATA (in thousands of US Dollars):</w:t>
            </w:r>
          </w:p>
        </w:tc>
      </w:tr>
      <w:tr w:rsidR="00B101BD" w14:paraId="26CC8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8A65DFB"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71702C3D"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75E19FE"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490" w:type="dxa"/>
            <w:tcBorders>
              <w:top w:val="nil"/>
              <w:left w:val="nil"/>
              <w:bottom w:val="nil"/>
              <w:right w:val="nil"/>
              <w:tl2br w:val="nil"/>
              <w:tr2bl w:val="nil"/>
            </w:tcBorders>
            <w:shd w:val="clear" w:color="auto" w:fill="auto"/>
            <w:tcMar>
              <w:left w:w="40" w:type="dxa"/>
              <w:right w:w="100" w:type="dxa"/>
            </w:tcMar>
            <w:vAlign w:val="bottom"/>
          </w:tcPr>
          <w:p w14:paraId="70180C9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8,397</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5A8360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490" w:type="dxa"/>
            <w:tcBorders>
              <w:top w:val="nil"/>
              <w:left w:val="nil"/>
              <w:bottom w:val="nil"/>
              <w:right w:val="nil"/>
              <w:tl2br w:val="nil"/>
              <w:tr2bl w:val="nil"/>
            </w:tcBorders>
            <w:shd w:val="clear" w:color="auto" w:fill="auto"/>
            <w:tcMar>
              <w:left w:w="40" w:type="dxa"/>
              <w:right w:w="100" w:type="dxa"/>
            </w:tcMar>
            <w:vAlign w:val="bottom"/>
          </w:tcPr>
          <w:p w14:paraId="012C97E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13,504</w:t>
            </w:r>
          </w:p>
        </w:tc>
      </w:tr>
      <w:tr w:rsidR="00B101BD" w14:paraId="4C7252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05A68E4" w14:textId="77777777" w:rsidR="00B101BD" w:rsidRDefault="00B101BD">
            <w:pPr>
              <w:spacing w:after="0" w:line="240" w:lineRule="auto"/>
              <w:jc w:val="center"/>
              <w:rPr>
                <w:rFonts w:ascii="Calibri" w:eastAsia="Calibri" w:hAnsi="Calibri" w:cs="Calibri"/>
                <w:b/>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7776AD15"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EDAF44E"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50DB255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4,936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2341549"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2321381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4,308</w:t>
            </w:r>
          </w:p>
        </w:tc>
      </w:tr>
      <w:tr w:rsidR="00B101BD" w14:paraId="34BFD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8D5EDE5" w14:textId="77777777" w:rsidR="00B101BD" w:rsidRDefault="00B101BD">
            <w:pPr>
              <w:spacing w:after="0" w:line="240" w:lineRule="auto"/>
              <w:jc w:val="center"/>
              <w:rPr>
                <w:rFonts w:ascii="Calibri" w:eastAsia="Calibri" w:hAnsi="Calibri" w:cs="Calibri"/>
                <w:b/>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22146201"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30084DA"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45F5536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2,878</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F8E20DD"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3A8FABD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3,096</w:t>
            </w:r>
          </w:p>
        </w:tc>
      </w:tr>
      <w:tr w:rsidR="00B101BD" w14:paraId="4B699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E1F26FC" w14:textId="77777777" w:rsidR="00B101BD" w:rsidRDefault="00B101BD">
            <w:pPr>
              <w:spacing w:after="0" w:line="240" w:lineRule="auto"/>
              <w:jc w:val="center"/>
              <w:rPr>
                <w:rFonts w:ascii="Calibri" w:eastAsia="Calibri" w:hAnsi="Calibri" w:cs="Calibri"/>
                <w:b/>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4C276D55"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Net income / (loss)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F9A4347"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40" w:type="dxa"/>
            </w:tcMar>
            <w:vAlign w:val="bottom"/>
          </w:tcPr>
          <w:p w14:paraId="7C13B5C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(2,853)</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B30D1CF"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3AEDAF44"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1,295</w:t>
            </w:r>
          </w:p>
        </w:tc>
      </w:tr>
      <w:tr w:rsidR="00B101BD" w14:paraId="2D748E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E044CB6" w14:textId="77777777" w:rsidR="00B101BD" w:rsidRDefault="00B101BD">
            <w:pPr>
              <w:spacing w:after="0" w:line="240" w:lineRule="auto"/>
              <w:jc w:val="center"/>
              <w:rPr>
                <w:rFonts w:ascii="Calibri" w:eastAsia="Calibri" w:hAnsi="Calibri" w:cs="Calibri"/>
                <w:b/>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75FFB9EE"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E8CDB2A" w14:textId="77777777" w:rsidR="00B101BD" w:rsidRPr="00FF4909" w:rsidRDefault="00B101BD">
            <w:pPr>
              <w:spacing w:after="0" w:line="240" w:lineRule="auto"/>
              <w:jc w:val="right"/>
              <w:rPr>
                <w:rFonts w:ascii="Calibri" w:eastAsia="Calibri" w:hAnsi="Calibri" w:cs="Calibri"/>
                <w:color w:val="000000"/>
                <w:sz w:val="20"/>
                <w:lang w:val="en-US"/>
              </w:rPr>
            </w:pPr>
          </w:p>
        </w:tc>
        <w:tc>
          <w:tcPr>
            <w:tcW w:w="2490" w:type="dxa"/>
            <w:tcBorders>
              <w:top w:val="nil"/>
              <w:left w:val="nil"/>
              <w:bottom w:val="nil"/>
              <w:right w:val="nil"/>
              <w:tl2br w:val="nil"/>
              <w:tr2bl w:val="nil"/>
            </w:tcBorders>
            <w:shd w:val="clear" w:color="auto" w:fill="auto"/>
            <w:tcMar>
              <w:left w:w="40" w:type="dxa"/>
              <w:right w:w="40" w:type="dxa"/>
            </w:tcMar>
            <w:vAlign w:val="bottom"/>
          </w:tcPr>
          <w:p w14:paraId="2CC0D644"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(2,853)</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CE8B9DA"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072EE78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2,795</w:t>
            </w:r>
          </w:p>
        </w:tc>
      </w:tr>
      <w:tr w:rsidR="00B101BD" w14:paraId="07D7BC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B8F1650" w14:textId="77777777" w:rsidR="00B101BD" w:rsidRDefault="00B101BD">
            <w:pPr>
              <w:spacing w:after="0" w:line="240" w:lineRule="auto"/>
              <w:jc w:val="center"/>
              <w:rPr>
                <w:rFonts w:ascii="Calibri" w:eastAsia="Calibri" w:hAnsi="Calibri" w:cs="Calibri"/>
                <w:b/>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6B57E4A2"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 xml:space="preserve">Earnings / (Loss) per common share, basic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5EB1882" w14:textId="77777777" w:rsidR="00B101BD" w:rsidRPr="00FF4909" w:rsidRDefault="00B101BD">
            <w:pPr>
              <w:spacing w:after="0" w:line="240" w:lineRule="auto"/>
              <w:jc w:val="right"/>
              <w:rPr>
                <w:rFonts w:ascii="Calibri" w:eastAsia="Calibri" w:hAnsi="Calibri" w:cs="Calibri"/>
                <w:color w:val="000000"/>
                <w:sz w:val="20"/>
                <w:lang w:val="en-US"/>
              </w:rPr>
            </w:pPr>
          </w:p>
        </w:tc>
        <w:tc>
          <w:tcPr>
            <w:tcW w:w="2490" w:type="dxa"/>
            <w:tcBorders>
              <w:top w:val="nil"/>
              <w:left w:val="nil"/>
              <w:bottom w:val="nil"/>
              <w:right w:val="nil"/>
              <w:tl2br w:val="nil"/>
              <w:tr2bl w:val="nil"/>
            </w:tcBorders>
            <w:shd w:val="clear" w:color="auto" w:fill="auto"/>
            <w:tcMar>
              <w:left w:w="40" w:type="dxa"/>
              <w:right w:w="40" w:type="dxa"/>
            </w:tcMar>
            <w:vAlign w:val="bottom"/>
          </w:tcPr>
          <w:p w14:paraId="4717FE3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(0.57)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E80F073"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339575DF"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0.60</w:t>
            </w:r>
          </w:p>
        </w:tc>
      </w:tr>
      <w:tr w:rsidR="00B101BD" w14:paraId="4645C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A751D62" w14:textId="77777777" w:rsidR="00B101BD" w:rsidRDefault="00B101BD">
            <w:pPr>
              <w:spacing w:after="0" w:line="240" w:lineRule="auto"/>
              <w:jc w:val="center"/>
              <w:rPr>
                <w:rFonts w:ascii="Calibri" w:eastAsia="Calibri" w:hAnsi="Calibri" w:cs="Calibri"/>
                <w:b/>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79F53428"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EDED09A" w14:textId="77777777" w:rsidR="00B101BD" w:rsidRPr="00FF4909" w:rsidRDefault="00B101BD">
            <w:pPr>
              <w:spacing w:after="0" w:line="240" w:lineRule="auto"/>
              <w:jc w:val="right"/>
              <w:rPr>
                <w:rFonts w:ascii="Calibri" w:eastAsia="Calibri" w:hAnsi="Calibri" w:cs="Calibri"/>
                <w:color w:val="000000"/>
                <w:sz w:val="20"/>
                <w:lang w:val="en-US"/>
              </w:rPr>
            </w:pPr>
          </w:p>
        </w:tc>
        <w:tc>
          <w:tcPr>
            <w:tcW w:w="2490" w:type="dxa"/>
            <w:tcBorders>
              <w:top w:val="nil"/>
              <w:left w:val="nil"/>
              <w:bottom w:val="nil"/>
              <w:right w:val="nil"/>
              <w:tl2br w:val="nil"/>
              <w:tr2bl w:val="nil"/>
            </w:tcBorders>
            <w:shd w:val="clear" w:color="auto" w:fill="auto"/>
            <w:tcMar>
              <w:left w:w="40" w:type="dxa"/>
              <w:right w:w="40" w:type="dxa"/>
            </w:tcMar>
            <w:vAlign w:val="bottom"/>
          </w:tcPr>
          <w:p w14:paraId="54F5775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(0.57)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7F024D0" w14:textId="77777777" w:rsidR="00B101BD" w:rsidRDefault="00B101BD">
            <w:pPr>
              <w:spacing w:after="0" w:line="240" w:lineRule="auto"/>
              <w:jc w:val="right"/>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tcMar>
              <w:left w:w="40" w:type="dxa"/>
              <w:right w:w="100" w:type="dxa"/>
            </w:tcMar>
            <w:vAlign w:val="bottom"/>
          </w:tcPr>
          <w:p w14:paraId="02C1221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0.58</w:t>
            </w:r>
          </w:p>
        </w:tc>
      </w:tr>
      <w:tr w:rsidR="00B101BD" w14:paraId="0244A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65" w:type="dxa"/>
            <w:gridSpan w:val="6"/>
            <w:tcBorders>
              <w:top w:val="nil"/>
              <w:left w:val="nil"/>
              <w:bottom w:val="nil"/>
              <w:right w:val="nil"/>
              <w:tl2br w:val="nil"/>
              <w:tr2bl w:val="nil"/>
            </w:tcBorders>
            <w:shd w:val="clear" w:color="auto" w:fill="auto"/>
            <w:tcMar>
              <w:left w:w="40" w:type="dxa"/>
              <w:right w:w="40" w:type="dxa"/>
            </w:tcMar>
            <w:vAlign w:val="bottom"/>
          </w:tcPr>
          <w:p w14:paraId="7DF38510"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FLEET DATA </w:t>
            </w:r>
          </w:p>
        </w:tc>
      </w:tr>
      <w:tr w:rsidR="00B101BD" w14:paraId="34233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DE68BF7"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noWrap/>
            <w:tcMar>
              <w:left w:w="40" w:type="dxa"/>
              <w:right w:w="40" w:type="dxa"/>
            </w:tcMar>
            <w:vAlign w:val="bottom"/>
          </w:tcPr>
          <w:p w14:paraId="30944AD1"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Average 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406F45D"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59D975B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685D6D5"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578F6BB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4.7</w:t>
            </w:r>
          </w:p>
        </w:tc>
      </w:tr>
      <w:tr w:rsidR="00B101BD" w14:paraId="1A8C8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5CD0A2D"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noWrap/>
            <w:tcMar>
              <w:left w:w="40" w:type="dxa"/>
              <w:right w:w="40" w:type="dxa"/>
            </w:tcMar>
            <w:vAlign w:val="bottom"/>
          </w:tcPr>
          <w:p w14:paraId="660C2C06"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C01CD8C"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6C377F3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818A837" w14:textId="77777777" w:rsidR="00B101BD" w:rsidRDefault="00B101BD">
            <w:pPr>
              <w:spacing w:after="0" w:line="240" w:lineRule="auto"/>
              <w:jc w:val="center"/>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54FA1F3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6.0</w:t>
            </w:r>
          </w:p>
        </w:tc>
      </w:tr>
      <w:tr w:rsidR="00B101BD" w14:paraId="270495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D3043A2"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noWrap/>
            <w:tcMar>
              <w:left w:w="40" w:type="dxa"/>
              <w:right w:w="40" w:type="dxa"/>
            </w:tcMar>
            <w:vAlign w:val="bottom"/>
          </w:tcPr>
          <w:p w14:paraId="5F9F6914"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Ownership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18F0C32"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67D38B2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8EC285"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34C93BB6"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430</w:t>
            </w:r>
          </w:p>
        </w:tc>
      </w:tr>
      <w:tr w:rsidR="00B101BD" w14:paraId="26639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5E173AE"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noWrap/>
            <w:tcMar>
              <w:left w:w="40" w:type="dxa"/>
              <w:right w:w="40" w:type="dxa"/>
            </w:tcMar>
            <w:vAlign w:val="bottom"/>
          </w:tcPr>
          <w:p w14:paraId="651FD4F1"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Available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390FC6"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551ED9D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B9744A7"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15317BB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430</w:t>
            </w:r>
          </w:p>
        </w:tc>
      </w:tr>
      <w:tr w:rsidR="00B101BD" w14:paraId="769BBB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6593722"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noWrap/>
            <w:tcMar>
              <w:left w:w="40" w:type="dxa"/>
              <w:right w:w="40" w:type="dxa"/>
            </w:tcMar>
            <w:vAlign w:val="bottom"/>
          </w:tcPr>
          <w:p w14:paraId="37A4FF06"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Operating days, including ballast leg (2)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FD863B1" w14:textId="77777777" w:rsidR="00B101BD" w:rsidRPr="00FF4909" w:rsidRDefault="00B101BD">
            <w:pPr>
              <w:spacing w:after="0" w:line="240" w:lineRule="auto"/>
              <w:rPr>
                <w:rFonts w:ascii="Calibri" w:eastAsia="Calibri" w:hAnsi="Calibri" w:cs="Calibri"/>
                <w:color w:val="000000"/>
                <w:sz w:val="20"/>
                <w:lang w:val="en-US"/>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3B75675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373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09B5D1"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6990E48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373</w:t>
            </w:r>
          </w:p>
        </w:tc>
      </w:tr>
      <w:tr w:rsidR="00B101BD" w14:paraId="76949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F65A6CA"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noWrap/>
            <w:tcMar>
              <w:left w:w="40" w:type="dxa"/>
              <w:right w:w="40" w:type="dxa"/>
            </w:tcMar>
            <w:vAlign w:val="bottom"/>
          </w:tcPr>
          <w:p w14:paraId="09BC8534"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Fleet utilization, including ballast leg</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04ECBFF" w14:textId="77777777" w:rsidR="00B101BD" w:rsidRPr="00FF4909" w:rsidRDefault="00B101BD">
            <w:pPr>
              <w:spacing w:after="0" w:line="240" w:lineRule="auto"/>
              <w:rPr>
                <w:rFonts w:ascii="Calibri" w:eastAsia="Calibri" w:hAnsi="Calibri" w:cs="Calibri"/>
                <w:color w:val="000000"/>
                <w:sz w:val="20"/>
                <w:lang w:val="en-US"/>
              </w:rPr>
            </w:pPr>
          </w:p>
        </w:tc>
        <w:tc>
          <w:tcPr>
            <w:tcW w:w="2490" w:type="dxa"/>
            <w:tcBorders>
              <w:top w:val="nil"/>
              <w:left w:val="nil"/>
              <w:bottom w:val="nil"/>
              <w:right w:val="nil"/>
              <w:tl2br w:val="nil"/>
              <w:tr2bl w:val="nil"/>
            </w:tcBorders>
            <w:shd w:val="clear" w:color="auto" w:fill="auto"/>
            <w:noWrap/>
            <w:tcMar>
              <w:left w:w="40" w:type="dxa"/>
              <w:right w:w="40" w:type="dxa"/>
            </w:tcMar>
            <w:vAlign w:val="bottom"/>
          </w:tcPr>
          <w:p w14:paraId="09F4C0A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82.9%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D8F269A" w14:textId="77777777" w:rsidR="00B101BD" w:rsidRDefault="00B101BD">
            <w:pPr>
              <w:spacing w:after="0" w:line="240" w:lineRule="auto"/>
              <w:rPr>
                <w:rFonts w:ascii="Calibri" w:eastAsia="Calibri" w:hAnsi="Calibri" w:cs="Calibri"/>
                <w:color w:val="000000"/>
                <w:sz w:val="20"/>
              </w:rPr>
            </w:pPr>
          </w:p>
        </w:tc>
        <w:tc>
          <w:tcPr>
            <w:tcW w:w="2490" w:type="dxa"/>
            <w:tcBorders>
              <w:top w:val="nil"/>
              <w:left w:val="nil"/>
              <w:bottom w:val="nil"/>
              <w:right w:val="nil"/>
              <w:tl2br w:val="nil"/>
              <w:tr2bl w:val="nil"/>
            </w:tcBorders>
            <w:shd w:val="clear" w:color="auto" w:fill="auto"/>
            <w:noWrap/>
            <w:tcMar>
              <w:left w:w="40" w:type="dxa"/>
              <w:right w:w="40" w:type="dxa"/>
            </w:tcMar>
            <w:vAlign w:val="bottom"/>
          </w:tcPr>
          <w:p w14:paraId="47C89F5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86.7%</w:t>
            </w:r>
          </w:p>
        </w:tc>
      </w:tr>
      <w:tr w:rsidR="00B101BD" w14:paraId="5D31E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365" w:type="dxa"/>
            <w:gridSpan w:val="6"/>
            <w:tcBorders>
              <w:top w:val="nil"/>
              <w:left w:val="nil"/>
              <w:bottom w:val="nil"/>
              <w:right w:val="nil"/>
              <w:tl2br w:val="nil"/>
              <w:tr2bl w:val="nil"/>
            </w:tcBorders>
            <w:shd w:val="clear" w:color="auto" w:fill="auto"/>
            <w:tcMar>
              <w:left w:w="40" w:type="dxa"/>
              <w:right w:w="40" w:type="dxa"/>
            </w:tcMar>
            <w:vAlign w:val="bottom"/>
          </w:tcPr>
          <w:p w14:paraId="3C85343D"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AVERAGE DAILY RESULTS </w:t>
            </w:r>
          </w:p>
        </w:tc>
      </w:tr>
      <w:tr w:rsidR="00B101BD" w14:paraId="2167A9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DA6AC72"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5E328387"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Time charter equivalent (TCE) rate (3)</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2ECC46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6036C47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7,691</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01C9D9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54D5995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21,386</w:t>
            </w:r>
          </w:p>
        </w:tc>
      </w:tr>
      <w:tr w:rsidR="00B101BD" w14:paraId="6FDBEF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0EC83A4" w14:textId="77777777" w:rsidR="00B101BD" w:rsidRDefault="00B101BD">
            <w:pPr>
              <w:spacing w:after="0" w:line="240" w:lineRule="auto"/>
              <w:rPr>
                <w:rFonts w:ascii="Calibri" w:eastAsia="Calibri" w:hAnsi="Calibri" w:cs="Calibri"/>
                <w:color w:val="000000"/>
                <w:sz w:val="20"/>
              </w:rPr>
            </w:pPr>
          </w:p>
        </w:tc>
        <w:tc>
          <w:tcPr>
            <w:tcW w:w="4830" w:type="dxa"/>
            <w:tcBorders>
              <w:top w:val="nil"/>
              <w:left w:val="nil"/>
              <w:bottom w:val="nil"/>
              <w:right w:val="nil"/>
              <w:tl2br w:val="nil"/>
              <w:tr2bl w:val="nil"/>
            </w:tcBorders>
            <w:shd w:val="clear" w:color="auto" w:fill="auto"/>
            <w:tcMar>
              <w:left w:w="40" w:type="dxa"/>
              <w:right w:w="40" w:type="dxa"/>
            </w:tcMar>
            <w:vAlign w:val="bottom"/>
          </w:tcPr>
          <w:p w14:paraId="2C82E3D3"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Daily vessel operating expenses (4)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46AE6C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0425157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6,396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DB4A17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490" w:type="dxa"/>
            <w:tcBorders>
              <w:top w:val="nil"/>
              <w:left w:val="nil"/>
              <w:bottom w:val="nil"/>
              <w:right w:val="nil"/>
              <w:tl2br w:val="nil"/>
              <w:tr2bl w:val="nil"/>
            </w:tcBorders>
            <w:shd w:val="clear" w:color="auto" w:fill="auto"/>
            <w:noWrap/>
            <w:tcMar>
              <w:left w:w="40" w:type="dxa"/>
              <w:right w:w="100" w:type="dxa"/>
            </w:tcMar>
            <w:vAlign w:val="bottom"/>
          </w:tcPr>
          <w:p w14:paraId="35A4018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7,200</w:t>
            </w:r>
          </w:p>
        </w:tc>
      </w:tr>
    </w:tbl>
    <w:p w14:paraId="6389E381" w14:textId="77777777" w:rsidR="00B101BD" w:rsidRDefault="00B101BD">
      <w:pPr>
        <w:spacing w:after="0" w:line="240" w:lineRule="auto"/>
        <w:rPr>
          <w:rFonts w:cs="Calibri"/>
        </w:rPr>
      </w:pPr>
    </w:p>
    <w:p w14:paraId="3BE9B9C9" w14:textId="77777777" w:rsidR="000A2F9A" w:rsidRDefault="00885344" w:rsidP="000A2F9A">
      <w:pPr>
        <w:tabs>
          <w:tab w:val="right" w:leader="underscore" w:pos="2268"/>
        </w:tabs>
        <w:suppressAutoHyphens/>
        <w:spacing w:line="240" w:lineRule="atLeast"/>
        <w:ind w:left="720" w:hanging="720"/>
        <w:jc w:val="both"/>
        <w:rPr>
          <w:rFonts w:cs="Calibri"/>
          <w:sz w:val="20"/>
          <w:lang w:val="en-GB"/>
        </w:rPr>
      </w:pPr>
      <w:r w:rsidRPr="007A1EDB">
        <w:rPr>
          <w:rFonts w:cs="Calibri"/>
          <w:sz w:val="20"/>
          <w:lang w:val="en-GB"/>
        </w:rPr>
        <w:tab/>
      </w:r>
      <w:r w:rsidRPr="007A1EDB">
        <w:rPr>
          <w:rFonts w:cs="Calibri"/>
          <w:sz w:val="20"/>
          <w:lang w:val="en-GB"/>
        </w:rPr>
        <w:tab/>
      </w:r>
    </w:p>
    <w:p w14:paraId="10891968" w14:textId="77777777" w:rsidR="00132720" w:rsidRPr="005213D7" w:rsidRDefault="00132720" w:rsidP="00132720">
      <w:pPr>
        <w:pStyle w:val="ListParagraph"/>
        <w:tabs>
          <w:tab w:val="left" w:pos="-720"/>
          <w:tab w:val="left" w:pos="0"/>
        </w:tabs>
        <w:suppressAutoHyphens/>
        <w:spacing w:after="0" w:line="240" w:lineRule="auto"/>
        <w:jc w:val="both"/>
        <w:rPr>
          <w:rFonts w:cs="Calibri"/>
          <w:sz w:val="20"/>
          <w:lang w:val="en-GB"/>
        </w:rPr>
      </w:pPr>
    </w:p>
    <w:p w14:paraId="76A065E6" w14:textId="77777777" w:rsidR="00132720" w:rsidRDefault="00F82B5E" w:rsidP="00132720">
      <w:pPr>
        <w:pStyle w:val="ListParagraph"/>
        <w:numPr>
          <w:ilvl w:val="0"/>
          <w:numId w:val="3"/>
        </w:numPr>
        <w:tabs>
          <w:tab w:val="left" w:pos="-720"/>
          <w:tab w:val="left" w:pos="0"/>
        </w:tabs>
        <w:suppressAutoHyphens/>
        <w:spacing w:after="0" w:line="240" w:lineRule="auto"/>
        <w:ind w:hanging="720"/>
        <w:jc w:val="both"/>
        <w:rPr>
          <w:rFonts w:cs="Calibri"/>
          <w:sz w:val="20"/>
          <w:lang w:val="en-GB"/>
        </w:rPr>
      </w:pPr>
      <w:r>
        <w:rPr>
          <w:rFonts w:cs="Calibri"/>
          <w:sz w:val="20"/>
          <w:lang w:val="en-GB"/>
        </w:rPr>
        <w:t xml:space="preserve">The table above includes data both from our Continuing and </w:t>
      </w:r>
      <w:r w:rsidR="00885344">
        <w:rPr>
          <w:rFonts w:cs="Calibri"/>
          <w:sz w:val="20"/>
          <w:lang w:val="en-GB"/>
        </w:rPr>
        <w:t>Discontinued Operations</w:t>
      </w:r>
      <w:r>
        <w:rPr>
          <w:rFonts w:cs="Calibri"/>
          <w:sz w:val="20"/>
          <w:lang w:val="en-GB"/>
        </w:rPr>
        <w:t>. Discontinued Operations</w:t>
      </w:r>
      <w:r w:rsidR="00885344">
        <w:rPr>
          <w:rFonts w:cs="Calibri"/>
          <w:sz w:val="20"/>
          <w:lang w:val="en-GB"/>
        </w:rPr>
        <w:t xml:space="preserve"> refer to our container vessels segment that we disposed of in 2020.</w:t>
      </w:r>
    </w:p>
    <w:p w14:paraId="02720E76" w14:textId="77777777" w:rsidR="00132720" w:rsidRPr="005213D7" w:rsidRDefault="00132720" w:rsidP="00132720">
      <w:pPr>
        <w:pStyle w:val="ListParagraph"/>
        <w:tabs>
          <w:tab w:val="left" w:pos="-720"/>
          <w:tab w:val="left" w:pos="0"/>
        </w:tabs>
        <w:suppressAutoHyphens/>
        <w:spacing w:after="0" w:line="240" w:lineRule="auto"/>
        <w:jc w:val="both"/>
        <w:rPr>
          <w:rFonts w:cs="Calibri"/>
          <w:sz w:val="20"/>
          <w:lang w:val="en-GB"/>
        </w:rPr>
      </w:pPr>
    </w:p>
    <w:p w14:paraId="6CA1798A" w14:textId="77777777" w:rsidR="00E37DCD" w:rsidRDefault="00885344" w:rsidP="00E37DCD">
      <w:pPr>
        <w:pStyle w:val="ListParagraph"/>
        <w:numPr>
          <w:ilvl w:val="0"/>
          <w:numId w:val="3"/>
        </w:numPr>
        <w:tabs>
          <w:tab w:val="left" w:pos="-720"/>
          <w:tab w:val="left" w:pos="0"/>
        </w:tabs>
        <w:suppressAutoHyphens/>
        <w:spacing w:after="0" w:line="240" w:lineRule="auto"/>
        <w:ind w:hanging="720"/>
        <w:jc w:val="both"/>
        <w:rPr>
          <w:rFonts w:cs="Calibri"/>
          <w:sz w:val="20"/>
          <w:lang w:val="en-GB"/>
        </w:rPr>
      </w:pPr>
      <w:r w:rsidRPr="00E37DCD">
        <w:rPr>
          <w:rFonts w:cs="Calibri"/>
          <w:sz w:val="20"/>
          <w:lang w:val="en-GB"/>
        </w:rPr>
        <w:t>Operating days</w:t>
      </w:r>
      <w:r w:rsidR="00E423D4">
        <w:rPr>
          <w:rFonts w:cs="Calibri"/>
          <w:sz w:val="20"/>
          <w:lang w:val="en-GB"/>
        </w:rPr>
        <w:t>, in</w:t>
      </w:r>
      <w:r>
        <w:rPr>
          <w:rFonts w:cs="Calibri"/>
          <w:sz w:val="20"/>
          <w:lang w:val="en-GB"/>
        </w:rPr>
        <w:t>cluding ballast leg,</w:t>
      </w:r>
      <w:r w:rsidRPr="00E37DCD">
        <w:rPr>
          <w:rFonts w:cs="Calibri"/>
          <w:sz w:val="20"/>
          <w:lang w:val="en-GB"/>
        </w:rPr>
        <w:t xml:space="preserve"> are the number of available days in a period less the aggregate number of days that our vessels are off-hire</w:t>
      </w:r>
      <w:r w:rsidR="00E423D4">
        <w:rPr>
          <w:rFonts w:cs="Calibri"/>
          <w:sz w:val="20"/>
          <w:lang w:val="en-GB"/>
        </w:rPr>
        <w:t>.</w:t>
      </w:r>
      <w:r w:rsidRPr="00E37DCD">
        <w:rPr>
          <w:rFonts w:cs="Calibri"/>
          <w:sz w:val="20"/>
          <w:lang w:val="en-GB"/>
        </w:rPr>
        <w:t xml:space="preserve"> </w:t>
      </w:r>
      <w:r>
        <w:rPr>
          <w:rFonts w:cs="Calibri"/>
          <w:sz w:val="20"/>
          <w:lang w:val="en-GB"/>
        </w:rPr>
        <w:t xml:space="preserve">The specific calculation </w:t>
      </w:r>
      <w:r w:rsidR="00E423D4">
        <w:rPr>
          <w:rFonts w:cs="Calibri"/>
          <w:sz w:val="20"/>
          <w:lang w:val="en-GB"/>
        </w:rPr>
        <w:t>does not count</w:t>
      </w:r>
      <w:r>
        <w:rPr>
          <w:rFonts w:cs="Calibri"/>
          <w:sz w:val="20"/>
          <w:lang w:val="en-GB"/>
        </w:rPr>
        <w:t xml:space="preserve"> as off-hire </w:t>
      </w:r>
      <w:r w:rsidR="00E423D4">
        <w:rPr>
          <w:rFonts w:cs="Calibri"/>
          <w:sz w:val="20"/>
          <w:lang w:val="en-GB"/>
        </w:rPr>
        <w:t xml:space="preserve">the </w:t>
      </w:r>
      <w:r>
        <w:rPr>
          <w:rFonts w:cs="Calibri"/>
          <w:sz w:val="20"/>
          <w:lang w:val="en-GB"/>
        </w:rPr>
        <w:t>days</w:t>
      </w:r>
      <w:r w:rsidR="00E423D4">
        <w:rPr>
          <w:rFonts w:cs="Calibri"/>
          <w:sz w:val="20"/>
          <w:lang w:val="en-GB"/>
        </w:rPr>
        <w:t xml:space="preserve"> of the ballast leg</w:t>
      </w:r>
      <w:r>
        <w:rPr>
          <w:rFonts w:cs="Calibri"/>
          <w:sz w:val="20"/>
          <w:lang w:val="en-GB"/>
        </w:rPr>
        <w:t xml:space="preserve"> of the spot voyages</w:t>
      </w:r>
      <w:r w:rsidR="00E423D4">
        <w:rPr>
          <w:rFonts w:cs="Calibri"/>
          <w:sz w:val="20"/>
          <w:lang w:val="en-GB"/>
        </w:rPr>
        <w:t>, as long as a charter party is in place</w:t>
      </w:r>
      <w:r>
        <w:rPr>
          <w:rFonts w:cs="Calibri"/>
          <w:sz w:val="20"/>
          <w:lang w:val="en-GB"/>
        </w:rPr>
        <w:t xml:space="preserve">. </w:t>
      </w:r>
      <w:r w:rsidRPr="00E37DCD">
        <w:rPr>
          <w:rFonts w:cs="Calibri"/>
          <w:sz w:val="20"/>
          <w:lang w:val="en-GB"/>
        </w:rPr>
        <w:t>The shipping industry uses operating days to measure the aggregate number of days in a period during which vessels actually generate revenues</w:t>
      </w:r>
      <w:r>
        <w:rPr>
          <w:rFonts w:cs="Calibri"/>
          <w:sz w:val="20"/>
          <w:lang w:val="en-GB"/>
        </w:rPr>
        <w:t>.</w:t>
      </w:r>
    </w:p>
    <w:p w14:paraId="09C09794" w14:textId="77777777" w:rsidR="00E37DCD" w:rsidRPr="00E37DCD" w:rsidRDefault="00E37DCD" w:rsidP="00E37DCD">
      <w:pPr>
        <w:tabs>
          <w:tab w:val="left" w:pos="-720"/>
          <w:tab w:val="left" w:pos="0"/>
        </w:tabs>
        <w:suppressAutoHyphens/>
        <w:spacing w:after="0" w:line="240" w:lineRule="auto"/>
        <w:jc w:val="both"/>
        <w:rPr>
          <w:rFonts w:cs="Calibri"/>
          <w:sz w:val="20"/>
          <w:lang w:val="en-GB"/>
        </w:rPr>
      </w:pPr>
    </w:p>
    <w:p w14:paraId="3C83B74C" w14:textId="1549EB3A" w:rsidR="000A2F9A" w:rsidRPr="008F6963" w:rsidRDefault="00885344" w:rsidP="00C01403">
      <w:pPr>
        <w:pStyle w:val="ListParagraph"/>
        <w:numPr>
          <w:ilvl w:val="0"/>
          <w:numId w:val="3"/>
        </w:numPr>
        <w:tabs>
          <w:tab w:val="left" w:pos="-720"/>
          <w:tab w:val="left" w:pos="0"/>
        </w:tabs>
        <w:suppressAutoHyphens/>
        <w:spacing w:after="0" w:line="240" w:lineRule="auto"/>
        <w:ind w:hanging="720"/>
        <w:jc w:val="both"/>
        <w:rPr>
          <w:rFonts w:cs="Calibri"/>
          <w:sz w:val="20"/>
          <w:lang w:val="en-GB"/>
        </w:rPr>
      </w:pPr>
      <w:r w:rsidRPr="008F6963">
        <w:rPr>
          <w:rFonts w:cs="Calibri"/>
          <w:sz w:val="20"/>
          <w:lang w:val="en-GB"/>
        </w:rPr>
        <w:t>Time charter equivalent rates, or TCE rates, are defined as our voyage and time charter revenues</w:t>
      </w:r>
      <w:r>
        <w:rPr>
          <w:rFonts w:cs="Calibri"/>
          <w:sz w:val="20"/>
          <w:lang w:val="en-GB"/>
        </w:rPr>
        <w:t>,</w:t>
      </w:r>
      <w:r w:rsidRPr="008F6963">
        <w:rPr>
          <w:rFonts w:cs="Calibri"/>
          <w:sz w:val="20"/>
          <w:lang w:val="en-GB"/>
        </w:rPr>
        <w:t xml:space="preserve"> less voyage expenses during a period divided by the number of our available days during the period, which is consistent with industry standards.  Voyage expenses include port charges, bunker (fuel) expenses, canal charges and commissions.  TCE is a non-GAAP measure. TCE rate is a standard shipping industry performance measure used primarily to compare daily earnings generated by vessels </w:t>
      </w:r>
      <w:bookmarkStart w:id="1" w:name="_DV_M319"/>
      <w:bookmarkEnd w:id="1"/>
      <w:r w:rsidRPr="008F6963">
        <w:rPr>
          <w:rFonts w:cs="Calibri"/>
          <w:sz w:val="20"/>
          <w:lang w:val="en-GB"/>
        </w:rPr>
        <w:t xml:space="preserve">despite changes in the mix of charter types (i.e., </w:t>
      </w:r>
      <w:r>
        <w:rPr>
          <w:rFonts w:cs="Calibri"/>
          <w:sz w:val="20"/>
          <w:lang w:val="en-GB"/>
        </w:rPr>
        <w:t>voyage (spot)</w:t>
      </w:r>
      <w:r w:rsidRPr="008F6963">
        <w:rPr>
          <w:rFonts w:cs="Calibri"/>
          <w:sz w:val="20"/>
          <w:lang w:val="en-GB"/>
        </w:rPr>
        <w:t xml:space="preserve"> charters, time charters and bareboat charters)</w:t>
      </w:r>
      <w:r>
        <w:rPr>
          <w:rFonts w:cs="Calibri"/>
          <w:sz w:val="20"/>
          <w:lang w:val="en-GB"/>
        </w:rPr>
        <w:t>.</w:t>
      </w:r>
    </w:p>
    <w:p w14:paraId="241BB0BC" w14:textId="77777777" w:rsidR="008F6963" w:rsidRPr="008F6963" w:rsidRDefault="008F6963" w:rsidP="005213D7">
      <w:pPr>
        <w:tabs>
          <w:tab w:val="left" w:pos="-720"/>
          <w:tab w:val="left" w:pos="0"/>
        </w:tabs>
        <w:suppressAutoHyphens/>
        <w:spacing w:after="0" w:line="240" w:lineRule="auto"/>
        <w:jc w:val="both"/>
        <w:rPr>
          <w:rFonts w:cs="Calibri"/>
          <w:sz w:val="20"/>
          <w:lang w:val="en-GB"/>
        </w:rPr>
      </w:pPr>
    </w:p>
    <w:p w14:paraId="5557D2C5" w14:textId="77777777" w:rsidR="000A2F9A" w:rsidRPr="005213D7" w:rsidRDefault="00885344" w:rsidP="005213D7">
      <w:pPr>
        <w:pStyle w:val="ListParagraph"/>
        <w:numPr>
          <w:ilvl w:val="0"/>
          <w:numId w:val="3"/>
        </w:numPr>
        <w:tabs>
          <w:tab w:val="left" w:pos="-720"/>
          <w:tab w:val="left" w:pos="0"/>
        </w:tabs>
        <w:suppressAutoHyphens/>
        <w:spacing w:after="0" w:line="240" w:lineRule="auto"/>
        <w:ind w:hanging="720"/>
        <w:jc w:val="both"/>
        <w:rPr>
          <w:rFonts w:cs="Calibri"/>
          <w:sz w:val="20"/>
          <w:lang w:val="en-GB"/>
        </w:rPr>
      </w:pPr>
      <w:bookmarkStart w:id="2" w:name="_DV_M320"/>
      <w:bookmarkEnd w:id="2"/>
      <w:r w:rsidRPr="005213D7">
        <w:rPr>
          <w:rFonts w:cs="Calibri"/>
          <w:sz w:val="20"/>
          <w:lang w:val="en-GB"/>
        </w:rPr>
        <w:t xml:space="preserve">Daily vessel operating expenses, which include crew wages and related costs, the cost of insurance and vessel registry, expenses relating to repairs and maintenance, the costs of spares and consumable stores, lubricant costs, tonnage taxes, regulatory fees, environmental costs, lay-up expenses and other miscellaneous expenses, are calculated by dividing vessel operating expenses by ownership days for the relevant period. </w:t>
      </w:r>
    </w:p>
    <w:tbl>
      <w:tblPr>
        <w:tblStyle w:val="CDMRange2"/>
        <w:tblW w:w="10785" w:type="dxa"/>
        <w:tblLayout w:type="fixed"/>
        <w:tblLook w:val="0600" w:firstRow="0" w:lastRow="0" w:firstColumn="0" w:lastColumn="0" w:noHBand="1" w:noVBand="1"/>
      </w:tblPr>
      <w:tblGrid>
        <w:gridCol w:w="315"/>
        <w:gridCol w:w="1125"/>
        <w:gridCol w:w="600"/>
        <w:gridCol w:w="1095"/>
        <w:gridCol w:w="1710"/>
        <w:gridCol w:w="990"/>
        <w:gridCol w:w="555"/>
        <w:gridCol w:w="1380"/>
        <w:gridCol w:w="1110"/>
        <w:gridCol w:w="1905"/>
      </w:tblGrid>
      <w:tr w:rsidR="00B101BD" w:rsidRPr="00EF096F" w14:paraId="49E668F6" w14:textId="77777777">
        <w:trPr>
          <w:trHeight w:val="300"/>
        </w:trPr>
        <w:tc>
          <w:tcPr>
            <w:tcW w:w="10785" w:type="dxa"/>
            <w:gridSpan w:val="10"/>
            <w:tcBorders>
              <w:top w:val="nil"/>
              <w:left w:val="nil"/>
              <w:bottom w:val="nil"/>
              <w:right w:val="nil"/>
              <w:tl2br w:val="nil"/>
              <w:tr2bl w:val="nil"/>
            </w:tcBorders>
            <w:shd w:val="clear" w:color="auto" w:fill="auto"/>
            <w:tcMar>
              <w:left w:w="40" w:type="dxa"/>
              <w:right w:w="40" w:type="dxa"/>
            </w:tcMar>
          </w:tcPr>
          <w:p w14:paraId="253DAB6E" w14:textId="77777777" w:rsidR="00B101BD" w:rsidRPr="00FF4909" w:rsidRDefault="00885344">
            <w:pPr>
              <w:pageBreakBefore/>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lastRenderedPageBreak/>
              <w:t>Fleet Employment Profile (As of May 2</w:t>
            </w:r>
            <w:r w:rsidR="00E95A2F">
              <w:rPr>
                <w:rFonts w:ascii="Calibri" w:eastAsia="Calibri" w:hAnsi="Calibri" w:cs="Calibri"/>
                <w:b/>
                <w:color w:val="000000"/>
                <w:sz w:val="20"/>
                <w:lang w:val="en-US"/>
              </w:rPr>
              <w:t>0</w:t>
            </w:r>
            <w:r w:rsidRPr="00FF4909">
              <w:rPr>
                <w:rFonts w:ascii="Calibri" w:eastAsia="Calibri" w:hAnsi="Calibri" w:cs="Calibri"/>
                <w:b/>
                <w:color w:val="000000"/>
                <w:sz w:val="20"/>
                <w:lang w:val="en-US"/>
              </w:rPr>
              <w:t>, 2021)</w:t>
            </w:r>
          </w:p>
        </w:tc>
      </w:tr>
      <w:tr w:rsidR="00B101BD" w:rsidRPr="00EF096F" w14:paraId="167F4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785" w:type="dxa"/>
            <w:gridSpan w:val="10"/>
            <w:tcBorders>
              <w:top w:val="nil"/>
              <w:left w:val="nil"/>
              <w:bottom w:val="nil"/>
              <w:right w:val="nil"/>
              <w:tl2br w:val="nil"/>
              <w:tr2bl w:val="nil"/>
            </w:tcBorders>
            <w:shd w:val="clear" w:color="auto" w:fill="auto"/>
            <w:tcMar>
              <w:left w:w="40" w:type="dxa"/>
              <w:right w:w="40" w:type="dxa"/>
            </w:tcMar>
          </w:tcPr>
          <w:p w14:paraId="27558294"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Performance Shipping Inc.’s fleet is employed as follows:</w:t>
            </w:r>
          </w:p>
        </w:tc>
      </w:tr>
      <w:tr w:rsidR="00B101BD" w:rsidRPr="00EF096F" w14:paraId="62BB9C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31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ACB2B92" w14:textId="77777777" w:rsidR="00B101BD" w:rsidRPr="00FF4909" w:rsidRDefault="00B101BD">
            <w:pPr>
              <w:spacing w:after="0" w:line="240" w:lineRule="auto"/>
              <w:rPr>
                <w:rFonts w:ascii="Calibri" w:eastAsia="Calibri" w:hAnsi="Calibri" w:cs="Calibri"/>
                <w:color w:val="000000"/>
                <w:lang w:val="en-US"/>
              </w:rPr>
            </w:pPr>
          </w:p>
        </w:tc>
        <w:tc>
          <w:tcPr>
            <w:tcW w:w="112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4F5338C2" w14:textId="77777777" w:rsidR="00B101BD" w:rsidRPr="00FF4909" w:rsidRDefault="00B101BD">
            <w:pPr>
              <w:spacing w:after="0" w:line="240" w:lineRule="auto"/>
              <w:rPr>
                <w:rFonts w:ascii="Calibri" w:eastAsia="Calibri" w:hAnsi="Calibri" w:cs="Calibri"/>
                <w:color w:val="000000"/>
                <w:sz w:val="18"/>
                <w:lang w:val="en-US"/>
              </w:rPr>
            </w:pPr>
          </w:p>
        </w:tc>
        <w:tc>
          <w:tcPr>
            <w:tcW w:w="60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46B55792" w14:textId="77777777" w:rsidR="00B101BD" w:rsidRPr="00FF4909" w:rsidRDefault="00B101BD">
            <w:pPr>
              <w:spacing w:after="0" w:line="240" w:lineRule="auto"/>
              <w:rPr>
                <w:rFonts w:ascii="Calibri" w:eastAsia="Calibri" w:hAnsi="Calibri" w:cs="Calibri"/>
                <w:color w:val="000000"/>
                <w:sz w:val="18"/>
                <w:lang w:val="en-US"/>
              </w:rPr>
            </w:pPr>
          </w:p>
        </w:tc>
        <w:tc>
          <w:tcPr>
            <w:tcW w:w="109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5ED67DD" w14:textId="77777777" w:rsidR="00B101BD" w:rsidRPr="00FF4909" w:rsidRDefault="00B101BD">
            <w:pPr>
              <w:spacing w:after="0" w:line="240" w:lineRule="auto"/>
              <w:rPr>
                <w:rFonts w:ascii="Calibri" w:eastAsia="Calibri" w:hAnsi="Calibri" w:cs="Calibri"/>
                <w:color w:val="000000"/>
                <w:sz w:val="18"/>
                <w:lang w:val="en-US"/>
              </w:rPr>
            </w:pPr>
          </w:p>
        </w:tc>
        <w:tc>
          <w:tcPr>
            <w:tcW w:w="171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FB64B5F" w14:textId="77777777" w:rsidR="00B101BD" w:rsidRPr="00FF4909" w:rsidRDefault="00B101BD">
            <w:pPr>
              <w:spacing w:after="0" w:line="240" w:lineRule="auto"/>
              <w:rPr>
                <w:rFonts w:ascii="Calibri" w:eastAsia="Calibri" w:hAnsi="Calibri" w:cs="Calibri"/>
                <w:color w:val="000000"/>
                <w:sz w:val="18"/>
                <w:lang w:val="en-US"/>
              </w:rPr>
            </w:pPr>
          </w:p>
        </w:tc>
        <w:tc>
          <w:tcPr>
            <w:tcW w:w="99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F765D4B" w14:textId="77777777" w:rsidR="00B101BD" w:rsidRPr="00FF4909" w:rsidRDefault="00B101BD">
            <w:pPr>
              <w:spacing w:after="0" w:line="240" w:lineRule="auto"/>
              <w:jc w:val="center"/>
              <w:rPr>
                <w:rFonts w:ascii="Calibri" w:eastAsia="Calibri" w:hAnsi="Calibri" w:cs="Calibri"/>
                <w:color w:val="000000"/>
                <w:sz w:val="18"/>
                <w:lang w:val="en-US"/>
              </w:rPr>
            </w:pPr>
          </w:p>
        </w:tc>
        <w:tc>
          <w:tcPr>
            <w:tcW w:w="5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3AE5E1BC" w14:textId="77777777" w:rsidR="00B101BD" w:rsidRPr="00FF4909" w:rsidRDefault="00B101BD">
            <w:pPr>
              <w:spacing w:after="0" w:line="240" w:lineRule="auto"/>
              <w:rPr>
                <w:rFonts w:ascii="Calibri" w:eastAsia="Calibri" w:hAnsi="Calibri" w:cs="Calibri"/>
                <w:color w:val="000000"/>
                <w:sz w:val="18"/>
                <w:lang w:val="en-US"/>
              </w:rPr>
            </w:pPr>
          </w:p>
        </w:tc>
        <w:tc>
          <w:tcPr>
            <w:tcW w:w="138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011BAD2" w14:textId="77777777" w:rsidR="00B101BD" w:rsidRPr="00FF4909" w:rsidRDefault="00B101BD">
            <w:pPr>
              <w:spacing w:after="0" w:line="240" w:lineRule="auto"/>
              <w:jc w:val="center"/>
              <w:rPr>
                <w:rFonts w:ascii="Calibri" w:eastAsia="Calibri" w:hAnsi="Calibri" w:cs="Calibri"/>
                <w:color w:val="000000"/>
                <w:sz w:val="18"/>
                <w:lang w:val="en-US"/>
              </w:rPr>
            </w:pPr>
          </w:p>
        </w:tc>
        <w:tc>
          <w:tcPr>
            <w:tcW w:w="111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338D5BD" w14:textId="77777777" w:rsidR="00B101BD" w:rsidRPr="00FF4909" w:rsidRDefault="00B101BD">
            <w:pPr>
              <w:spacing w:after="0" w:line="240" w:lineRule="auto"/>
              <w:jc w:val="center"/>
              <w:rPr>
                <w:rFonts w:ascii="Calibri" w:eastAsia="Calibri" w:hAnsi="Calibri" w:cs="Calibri"/>
                <w:color w:val="000000"/>
                <w:sz w:val="18"/>
                <w:lang w:val="en-US"/>
              </w:rPr>
            </w:pPr>
          </w:p>
        </w:tc>
        <w:tc>
          <w:tcPr>
            <w:tcW w:w="190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166CB07E" w14:textId="77777777" w:rsidR="00B101BD" w:rsidRPr="00FF4909" w:rsidRDefault="00B101BD">
            <w:pPr>
              <w:spacing w:after="0" w:line="240" w:lineRule="auto"/>
              <w:rPr>
                <w:rFonts w:ascii="Calibri" w:eastAsia="Calibri" w:hAnsi="Calibri" w:cs="Calibri"/>
                <w:color w:val="000000"/>
                <w:sz w:val="18"/>
                <w:lang w:val="en-US"/>
              </w:rPr>
            </w:pPr>
          </w:p>
        </w:tc>
      </w:tr>
      <w:tr w:rsidR="00B101BD" w14:paraId="056913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527A5150" w14:textId="77777777" w:rsidR="00B101BD" w:rsidRPr="00FF4909" w:rsidRDefault="00B101BD">
            <w:pPr>
              <w:spacing w:after="0" w:line="240" w:lineRule="auto"/>
              <w:rPr>
                <w:rFonts w:ascii="Calibri" w:eastAsia="Calibri" w:hAnsi="Calibri" w:cs="Calibri"/>
                <w:color w:val="000000"/>
                <w:lang w:val="en-US"/>
              </w:rPr>
            </w:pPr>
          </w:p>
        </w:tc>
        <w:tc>
          <w:tcPr>
            <w:tcW w:w="112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398E4DCB"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Vessel</w:t>
            </w:r>
          </w:p>
        </w:tc>
        <w:tc>
          <w:tcPr>
            <w:tcW w:w="60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234B3585"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Year of Built</w:t>
            </w:r>
          </w:p>
        </w:tc>
        <w:tc>
          <w:tcPr>
            <w:tcW w:w="109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175101D1"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Capacity</w:t>
            </w:r>
          </w:p>
        </w:tc>
        <w:tc>
          <w:tcPr>
            <w:tcW w:w="171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19BF61E1"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Builder</w:t>
            </w:r>
          </w:p>
        </w:tc>
        <w:tc>
          <w:tcPr>
            <w:tcW w:w="99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5E1ABBFE" w14:textId="77777777" w:rsidR="00B101BD" w:rsidRPr="00FF4909" w:rsidRDefault="00885344">
            <w:pPr>
              <w:spacing w:after="0" w:line="240" w:lineRule="auto"/>
              <w:jc w:val="center"/>
              <w:rPr>
                <w:rFonts w:ascii="Calibri" w:eastAsia="Calibri" w:hAnsi="Calibri" w:cs="Calibri"/>
                <w:b/>
                <w:color w:val="000000"/>
                <w:sz w:val="18"/>
                <w:lang w:val="en-US"/>
              </w:rPr>
            </w:pPr>
            <w:r w:rsidRPr="00FF4909">
              <w:rPr>
                <w:rFonts w:ascii="Calibri" w:eastAsia="Calibri" w:hAnsi="Calibri" w:cs="Calibri"/>
                <w:b/>
                <w:color w:val="000000"/>
                <w:sz w:val="18"/>
                <w:lang w:val="en-US"/>
              </w:rPr>
              <w:t>Gross Rate (USD Per Day)</w:t>
            </w:r>
          </w:p>
        </w:tc>
        <w:tc>
          <w:tcPr>
            <w:tcW w:w="5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42AAF583"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 xml:space="preserve">Com </w:t>
            </w:r>
            <w:r>
              <w:rPr>
                <w:rFonts w:ascii="Calibri" w:eastAsia="Calibri" w:hAnsi="Calibri" w:cs="Calibri"/>
                <w:b/>
                <w:color w:val="000000"/>
                <w:sz w:val="18"/>
                <w:vertAlign w:val="superscript"/>
              </w:rPr>
              <w:t>1</w:t>
            </w:r>
          </w:p>
        </w:tc>
        <w:tc>
          <w:tcPr>
            <w:tcW w:w="138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33996E32"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Charterers</w:t>
            </w:r>
          </w:p>
        </w:tc>
        <w:tc>
          <w:tcPr>
            <w:tcW w:w="111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20253235"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Delivery Date to Charterers</w:t>
            </w:r>
          </w:p>
        </w:tc>
        <w:tc>
          <w:tcPr>
            <w:tcW w:w="190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4E03DE04"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Redelivery Date to Owners</w:t>
            </w:r>
            <w:r>
              <w:rPr>
                <w:rFonts w:ascii="Calibri" w:eastAsia="Calibri" w:hAnsi="Calibri" w:cs="Calibri"/>
                <w:b/>
                <w:color w:val="000000"/>
                <w:sz w:val="18"/>
                <w:vertAlign w:val="superscript"/>
              </w:rPr>
              <w:t xml:space="preserve"> 2</w:t>
            </w:r>
          </w:p>
        </w:tc>
      </w:tr>
      <w:tr w:rsidR="00B101BD" w14:paraId="19026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1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B134E65" w14:textId="77777777" w:rsidR="00B101BD" w:rsidRDefault="00B101BD">
            <w:pPr>
              <w:spacing w:after="0" w:line="240" w:lineRule="auto"/>
              <w:rPr>
                <w:rFonts w:ascii="Calibri" w:eastAsia="Calibri" w:hAnsi="Calibri" w:cs="Calibri"/>
                <w:color w:val="000000"/>
              </w:rPr>
            </w:pPr>
          </w:p>
        </w:tc>
        <w:tc>
          <w:tcPr>
            <w:tcW w:w="112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1EB3469F" w14:textId="77777777" w:rsidR="00B101BD" w:rsidRDefault="00B101BD">
            <w:pPr>
              <w:spacing w:after="0" w:line="240" w:lineRule="auto"/>
              <w:jc w:val="center"/>
              <w:rPr>
                <w:rFonts w:ascii="Calibri" w:eastAsia="Calibri" w:hAnsi="Calibri" w:cs="Calibri"/>
                <w:b/>
                <w:color w:val="000000"/>
                <w:sz w:val="18"/>
              </w:rPr>
            </w:pPr>
          </w:p>
        </w:tc>
        <w:tc>
          <w:tcPr>
            <w:tcW w:w="60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5EA8F1A4" w14:textId="77777777" w:rsidR="00B101BD" w:rsidRDefault="00B101BD">
            <w:pPr>
              <w:spacing w:after="0" w:line="240" w:lineRule="auto"/>
              <w:jc w:val="center"/>
              <w:rPr>
                <w:rFonts w:ascii="Calibri" w:eastAsia="Calibri" w:hAnsi="Calibri" w:cs="Calibri"/>
                <w:b/>
                <w:color w:val="000000"/>
                <w:sz w:val="18"/>
              </w:rPr>
            </w:pPr>
          </w:p>
        </w:tc>
        <w:tc>
          <w:tcPr>
            <w:tcW w:w="109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124AFD0B" w14:textId="77777777" w:rsidR="00B101BD" w:rsidRDefault="00B101BD">
            <w:pPr>
              <w:spacing w:after="0" w:line="240" w:lineRule="auto"/>
              <w:jc w:val="center"/>
              <w:rPr>
                <w:rFonts w:ascii="Calibri" w:eastAsia="Calibri" w:hAnsi="Calibri" w:cs="Calibri"/>
                <w:b/>
                <w:color w:val="000000"/>
                <w:sz w:val="18"/>
              </w:rPr>
            </w:pPr>
          </w:p>
        </w:tc>
        <w:tc>
          <w:tcPr>
            <w:tcW w:w="171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61DA4804" w14:textId="77777777" w:rsidR="00B101BD" w:rsidRDefault="00B101BD">
            <w:pPr>
              <w:spacing w:after="0" w:line="240" w:lineRule="auto"/>
              <w:jc w:val="center"/>
              <w:rPr>
                <w:rFonts w:ascii="Calibri" w:eastAsia="Calibri" w:hAnsi="Calibri" w:cs="Calibri"/>
                <w:b/>
                <w:color w:val="000000"/>
                <w:sz w:val="18"/>
              </w:rPr>
            </w:pPr>
          </w:p>
        </w:tc>
        <w:tc>
          <w:tcPr>
            <w:tcW w:w="99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0E09A410" w14:textId="77777777" w:rsidR="00B101BD" w:rsidRDefault="00B101BD">
            <w:pPr>
              <w:spacing w:after="0" w:line="240" w:lineRule="auto"/>
              <w:jc w:val="center"/>
              <w:rPr>
                <w:rFonts w:ascii="Calibri" w:eastAsia="Calibri" w:hAnsi="Calibri" w:cs="Calibri"/>
                <w:b/>
                <w:color w:val="000000"/>
                <w:sz w:val="18"/>
              </w:rPr>
            </w:pPr>
          </w:p>
        </w:tc>
        <w:tc>
          <w:tcPr>
            <w:tcW w:w="5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22E7AECA" w14:textId="77777777" w:rsidR="00B101BD" w:rsidRDefault="00B101BD">
            <w:pPr>
              <w:spacing w:after="0" w:line="240" w:lineRule="auto"/>
              <w:jc w:val="center"/>
              <w:rPr>
                <w:rFonts w:ascii="Calibri" w:eastAsia="Calibri" w:hAnsi="Calibri" w:cs="Calibri"/>
                <w:b/>
                <w:color w:val="000000"/>
                <w:sz w:val="18"/>
              </w:rPr>
            </w:pPr>
          </w:p>
        </w:tc>
        <w:tc>
          <w:tcPr>
            <w:tcW w:w="138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2D293EF8" w14:textId="77777777" w:rsidR="00B101BD" w:rsidRDefault="00B101BD">
            <w:pPr>
              <w:spacing w:after="0" w:line="240" w:lineRule="auto"/>
              <w:jc w:val="center"/>
              <w:rPr>
                <w:rFonts w:ascii="Calibri" w:eastAsia="Calibri" w:hAnsi="Calibri" w:cs="Calibri"/>
                <w:b/>
                <w:color w:val="000000"/>
                <w:sz w:val="18"/>
              </w:rPr>
            </w:pPr>
          </w:p>
        </w:tc>
        <w:tc>
          <w:tcPr>
            <w:tcW w:w="111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226183CA" w14:textId="77777777" w:rsidR="00B101BD" w:rsidRDefault="00B101BD">
            <w:pPr>
              <w:spacing w:after="0" w:line="240" w:lineRule="auto"/>
              <w:jc w:val="center"/>
              <w:rPr>
                <w:rFonts w:ascii="Calibri" w:eastAsia="Calibri" w:hAnsi="Calibri" w:cs="Calibri"/>
                <w:b/>
                <w:color w:val="000000"/>
                <w:sz w:val="18"/>
              </w:rPr>
            </w:pPr>
          </w:p>
        </w:tc>
        <w:tc>
          <w:tcPr>
            <w:tcW w:w="190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1209B21B" w14:textId="77777777" w:rsidR="00B101BD" w:rsidRDefault="00B101BD">
            <w:pPr>
              <w:spacing w:after="0" w:line="240" w:lineRule="auto"/>
              <w:jc w:val="center"/>
              <w:rPr>
                <w:rFonts w:ascii="Calibri" w:eastAsia="Calibri" w:hAnsi="Calibri" w:cs="Calibri"/>
                <w:b/>
                <w:color w:val="000000"/>
                <w:sz w:val="18"/>
              </w:rPr>
            </w:pPr>
          </w:p>
        </w:tc>
      </w:tr>
      <w:tr w:rsidR="00B101BD" w14:paraId="11A4BC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5" w:type="dxa"/>
            <w:tcBorders>
              <w:top w:val="single" w:sz="8" w:space="0" w:color="000000"/>
              <w:left w:val="nil"/>
              <w:bottom w:val="single" w:sz="8" w:space="0" w:color="000000"/>
              <w:right w:val="nil"/>
              <w:tl2br w:val="nil"/>
              <w:tr2bl w:val="nil"/>
            </w:tcBorders>
            <w:shd w:val="clear" w:color="auto" w:fill="auto"/>
            <w:noWrap/>
            <w:tcMar>
              <w:left w:w="0" w:type="dxa"/>
              <w:right w:w="0" w:type="dxa"/>
            </w:tcMar>
            <w:vAlign w:val="bottom"/>
          </w:tcPr>
          <w:p w14:paraId="0B62F4A5" w14:textId="77777777" w:rsidR="00B101BD" w:rsidRDefault="00B101BD">
            <w:pPr>
              <w:spacing w:after="0" w:line="240" w:lineRule="auto"/>
              <w:rPr>
                <w:rFonts w:ascii="Calibri" w:eastAsia="Calibri" w:hAnsi="Calibri" w:cs="Calibri"/>
                <w:color w:val="000000"/>
              </w:rPr>
            </w:pPr>
          </w:p>
        </w:tc>
        <w:tc>
          <w:tcPr>
            <w:tcW w:w="10470" w:type="dxa"/>
            <w:gridSpan w:val="9"/>
            <w:tcBorders>
              <w:top w:val="single" w:sz="8" w:space="0" w:color="000000"/>
              <w:left w:val="nil"/>
              <w:bottom w:val="single" w:sz="8" w:space="0" w:color="000000"/>
              <w:right w:val="nil"/>
              <w:tl2br w:val="nil"/>
              <w:tr2bl w:val="nil"/>
            </w:tcBorders>
            <w:shd w:val="clear" w:color="auto" w:fill="auto"/>
            <w:tcMar>
              <w:left w:w="40" w:type="dxa"/>
              <w:right w:w="40" w:type="dxa"/>
            </w:tcMar>
            <w:vAlign w:val="bottom"/>
          </w:tcPr>
          <w:p w14:paraId="6E50178F"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 xml:space="preserve">Aframax Tanker Vessels </w:t>
            </w:r>
          </w:p>
        </w:tc>
      </w:tr>
      <w:tr w:rsidR="00B101BD" w14:paraId="068EF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7F123EB" w14:textId="77777777" w:rsidR="00B101BD" w:rsidRDefault="00885344">
            <w:pPr>
              <w:spacing w:after="0" w:line="240" w:lineRule="auto"/>
              <w:jc w:val="right"/>
              <w:rPr>
                <w:rFonts w:ascii="Calibri" w:eastAsia="Calibri" w:hAnsi="Calibri" w:cs="Calibri"/>
                <w:color w:val="000000"/>
                <w:sz w:val="18"/>
              </w:rPr>
            </w:pPr>
            <w:r>
              <w:rPr>
                <w:rFonts w:ascii="Calibri" w:eastAsia="Calibri" w:hAnsi="Calibri" w:cs="Calibri"/>
                <w:color w:val="000000"/>
                <w:sz w:val="18"/>
              </w:rPr>
              <w:t>1</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14:paraId="78FBDB50"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BLUE MOON</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14:paraId="71199075"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2011</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14:paraId="7CC7D734"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104,623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14:paraId="1997EC17" w14:textId="77777777" w:rsidR="00B101BD" w:rsidRPr="00FF4909" w:rsidRDefault="00885344">
            <w:pPr>
              <w:spacing w:after="0" w:line="240" w:lineRule="auto"/>
              <w:jc w:val="center"/>
              <w:rPr>
                <w:rFonts w:ascii="Calibri" w:eastAsia="Calibri" w:hAnsi="Calibri" w:cs="Calibri"/>
                <w:color w:val="000000"/>
                <w:sz w:val="18"/>
                <w:lang w:val="en-US"/>
              </w:rPr>
            </w:pPr>
            <w:r w:rsidRPr="00FF4909">
              <w:rPr>
                <w:rFonts w:ascii="Calibri" w:eastAsia="Calibri" w:hAnsi="Calibri" w:cs="Calibri"/>
                <w:color w:val="000000"/>
                <w:sz w:val="18"/>
                <w:lang w:val="en-US"/>
              </w:rPr>
              <w:t xml:space="preserve">Sumitomo Heavy Industries Marine &amp; Engineering Co., LTD. </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14:paraId="7448EE1E"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$28,000</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2CE3E4D8"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5.00%</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3DCEF455" w14:textId="77777777" w:rsidR="00B101BD" w:rsidRPr="00FF4909" w:rsidRDefault="00885344">
            <w:pPr>
              <w:spacing w:after="0" w:line="240" w:lineRule="auto"/>
              <w:jc w:val="center"/>
              <w:rPr>
                <w:rFonts w:ascii="Calibri" w:eastAsia="Calibri" w:hAnsi="Calibri" w:cs="Calibri"/>
                <w:color w:val="000000"/>
                <w:sz w:val="18"/>
                <w:lang w:val="en-US"/>
              </w:rPr>
            </w:pPr>
            <w:r w:rsidRPr="00FF4909">
              <w:rPr>
                <w:rFonts w:ascii="Calibri" w:eastAsia="Calibri" w:hAnsi="Calibri" w:cs="Calibri"/>
                <w:color w:val="000000"/>
                <w:sz w:val="18"/>
                <w:lang w:val="en-US"/>
              </w:rPr>
              <w:t>Aramco Trading Company, Saudi Arabia</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14:paraId="47802DC1"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19-Jun-20</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14:paraId="1B682CE4"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19-Nov-21 - 18-Jan-22</w:t>
            </w:r>
          </w:p>
        </w:tc>
      </w:tr>
      <w:tr w:rsidR="00B101BD" w14:paraId="46829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4A3EE1E" w14:textId="77777777" w:rsidR="00B101BD" w:rsidRDefault="00885344">
            <w:pPr>
              <w:spacing w:after="0" w:line="240" w:lineRule="auto"/>
              <w:jc w:val="right"/>
              <w:rPr>
                <w:rFonts w:ascii="Calibri" w:eastAsia="Calibri" w:hAnsi="Calibri" w:cs="Calibri"/>
                <w:color w:val="000000"/>
                <w:sz w:val="18"/>
              </w:rPr>
            </w:pPr>
            <w:r>
              <w:rPr>
                <w:rFonts w:ascii="Calibri" w:eastAsia="Calibri" w:hAnsi="Calibri" w:cs="Calibri"/>
                <w:color w:val="000000"/>
                <w:sz w:val="18"/>
              </w:rPr>
              <w:t>2</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14:paraId="0FF2BC15"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BRIOLETTE</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14:paraId="6E263A88"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2011</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14:paraId="4BA0697E"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104,588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14:paraId="63FBEACD" w14:textId="77777777" w:rsidR="00B101BD" w:rsidRPr="00FF4909" w:rsidRDefault="00885344">
            <w:pPr>
              <w:spacing w:after="0" w:line="240" w:lineRule="auto"/>
              <w:jc w:val="center"/>
              <w:rPr>
                <w:rFonts w:ascii="Calibri" w:eastAsia="Calibri" w:hAnsi="Calibri" w:cs="Calibri"/>
                <w:color w:val="000000"/>
                <w:sz w:val="18"/>
                <w:lang w:val="en-US"/>
              </w:rPr>
            </w:pPr>
            <w:r w:rsidRPr="00FF4909">
              <w:rPr>
                <w:rFonts w:ascii="Calibri" w:eastAsia="Calibri" w:hAnsi="Calibri" w:cs="Calibri"/>
                <w:color w:val="000000"/>
                <w:sz w:val="18"/>
                <w:lang w:val="en-US"/>
              </w:rPr>
              <w:t xml:space="preserve">Sumitomo Heavy Industries Marine &amp; Engineering Co., LTD. </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14:paraId="526BA71E"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06F71247"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4F84E23E"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14:paraId="37E8440F"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14:paraId="6487BDA0"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 - -</w:t>
            </w:r>
          </w:p>
        </w:tc>
      </w:tr>
      <w:tr w:rsidR="00B101BD" w14:paraId="216A2B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BBDEAD4" w14:textId="77777777" w:rsidR="00B101BD" w:rsidRDefault="00885344">
            <w:pPr>
              <w:spacing w:after="0" w:line="240" w:lineRule="auto"/>
              <w:jc w:val="right"/>
              <w:rPr>
                <w:rFonts w:ascii="Calibri" w:eastAsia="Calibri" w:hAnsi="Calibri" w:cs="Calibri"/>
                <w:color w:val="000000"/>
                <w:sz w:val="18"/>
              </w:rPr>
            </w:pPr>
            <w:r>
              <w:rPr>
                <w:rFonts w:ascii="Calibri" w:eastAsia="Calibri" w:hAnsi="Calibri" w:cs="Calibri"/>
                <w:color w:val="000000"/>
                <w:sz w:val="18"/>
              </w:rPr>
              <w:t>3</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14:paraId="5FE693AA"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P. FOS</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14:paraId="2BBBD9FE"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2007</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14:paraId="60A6BB11"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115,577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14:paraId="77635430" w14:textId="77777777" w:rsidR="00B101BD" w:rsidRPr="00FF4909" w:rsidRDefault="00885344">
            <w:pPr>
              <w:spacing w:after="0" w:line="240" w:lineRule="auto"/>
              <w:jc w:val="center"/>
              <w:rPr>
                <w:rFonts w:ascii="Calibri" w:eastAsia="Calibri" w:hAnsi="Calibri" w:cs="Calibri"/>
                <w:color w:val="000000"/>
                <w:sz w:val="18"/>
                <w:lang w:val="en-US"/>
              </w:rPr>
            </w:pPr>
            <w:r w:rsidRPr="00FF4909">
              <w:rPr>
                <w:rFonts w:ascii="Calibri" w:eastAsia="Calibri" w:hAnsi="Calibri" w:cs="Calibri"/>
                <w:color w:val="000000"/>
                <w:sz w:val="18"/>
                <w:lang w:val="en-US"/>
              </w:rPr>
              <w:t>Sasebo Heavy Industries Co. Ltd</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14:paraId="38A1AD8C"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2D8BB44B"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63907251"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14:paraId="377E7BCC"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14:paraId="0A6009F1"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 - -</w:t>
            </w:r>
          </w:p>
        </w:tc>
      </w:tr>
      <w:tr w:rsidR="00B101BD" w14:paraId="61BDE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10C377E" w14:textId="77777777" w:rsidR="00B101BD" w:rsidRDefault="00885344">
            <w:pPr>
              <w:spacing w:after="0" w:line="240" w:lineRule="auto"/>
              <w:jc w:val="right"/>
              <w:rPr>
                <w:rFonts w:ascii="Calibri" w:eastAsia="Calibri" w:hAnsi="Calibri" w:cs="Calibri"/>
                <w:color w:val="000000"/>
                <w:sz w:val="18"/>
              </w:rPr>
            </w:pPr>
            <w:r>
              <w:rPr>
                <w:rFonts w:ascii="Calibri" w:eastAsia="Calibri" w:hAnsi="Calibri" w:cs="Calibri"/>
                <w:color w:val="000000"/>
                <w:sz w:val="18"/>
              </w:rPr>
              <w:t>4</w:t>
            </w:r>
          </w:p>
        </w:tc>
        <w:tc>
          <w:tcPr>
            <w:tcW w:w="1125" w:type="dxa"/>
            <w:tcBorders>
              <w:top w:val="nil"/>
              <w:left w:val="nil"/>
              <w:bottom w:val="single" w:sz="4" w:space="0" w:color="000000"/>
              <w:right w:val="nil"/>
              <w:tl2br w:val="nil"/>
              <w:tr2bl w:val="nil"/>
            </w:tcBorders>
            <w:shd w:val="clear" w:color="auto" w:fill="auto"/>
            <w:tcMar>
              <w:left w:w="40" w:type="dxa"/>
              <w:right w:w="40" w:type="dxa"/>
            </w:tcMar>
            <w:vAlign w:val="bottom"/>
          </w:tcPr>
          <w:p w14:paraId="4CB97C51"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P. KIKUMA</w:t>
            </w:r>
          </w:p>
        </w:tc>
        <w:tc>
          <w:tcPr>
            <w:tcW w:w="600" w:type="dxa"/>
            <w:tcBorders>
              <w:top w:val="nil"/>
              <w:left w:val="nil"/>
              <w:bottom w:val="single" w:sz="4" w:space="0" w:color="000000"/>
              <w:right w:val="nil"/>
              <w:tl2br w:val="nil"/>
              <w:tr2bl w:val="nil"/>
            </w:tcBorders>
            <w:shd w:val="clear" w:color="auto" w:fill="auto"/>
            <w:tcMar>
              <w:left w:w="40" w:type="dxa"/>
              <w:right w:w="40" w:type="dxa"/>
            </w:tcMar>
            <w:vAlign w:val="bottom"/>
          </w:tcPr>
          <w:p w14:paraId="02E31B54"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2007</w:t>
            </w: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14:paraId="5D9C13AC"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115,915 DWT</w:t>
            </w:r>
          </w:p>
        </w:tc>
        <w:tc>
          <w:tcPr>
            <w:tcW w:w="1710" w:type="dxa"/>
            <w:tcBorders>
              <w:top w:val="nil"/>
              <w:left w:val="nil"/>
              <w:bottom w:val="single" w:sz="4" w:space="0" w:color="000000"/>
              <w:right w:val="nil"/>
              <w:tl2br w:val="nil"/>
              <w:tr2bl w:val="nil"/>
            </w:tcBorders>
            <w:shd w:val="clear" w:color="auto" w:fill="auto"/>
            <w:tcMar>
              <w:left w:w="40" w:type="dxa"/>
              <w:right w:w="40" w:type="dxa"/>
            </w:tcMar>
            <w:vAlign w:val="bottom"/>
          </w:tcPr>
          <w:p w14:paraId="47AB8321" w14:textId="77777777" w:rsidR="00B101BD" w:rsidRPr="00FF4909" w:rsidRDefault="00885344">
            <w:pPr>
              <w:spacing w:after="0" w:line="240" w:lineRule="auto"/>
              <w:jc w:val="center"/>
              <w:rPr>
                <w:rFonts w:ascii="Calibri" w:eastAsia="Calibri" w:hAnsi="Calibri" w:cs="Calibri"/>
                <w:color w:val="000000"/>
                <w:sz w:val="18"/>
                <w:lang w:val="en-US"/>
              </w:rPr>
            </w:pPr>
            <w:r w:rsidRPr="00FF4909">
              <w:rPr>
                <w:rFonts w:ascii="Calibri" w:eastAsia="Calibri" w:hAnsi="Calibri" w:cs="Calibri"/>
                <w:color w:val="000000"/>
                <w:sz w:val="18"/>
                <w:lang w:val="en-US"/>
              </w:rPr>
              <w:t>Samsung Heavy Industries Co Ltd.</w:t>
            </w:r>
          </w:p>
        </w:tc>
        <w:tc>
          <w:tcPr>
            <w:tcW w:w="990" w:type="dxa"/>
            <w:tcBorders>
              <w:top w:val="nil"/>
              <w:left w:val="nil"/>
              <w:bottom w:val="single" w:sz="4" w:space="0" w:color="000000"/>
              <w:right w:val="nil"/>
              <w:tl2br w:val="nil"/>
              <w:tr2bl w:val="nil"/>
            </w:tcBorders>
            <w:shd w:val="clear" w:color="auto" w:fill="auto"/>
            <w:tcMar>
              <w:left w:w="40" w:type="dxa"/>
              <w:right w:w="40" w:type="dxa"/>
            </w:tcMar>
            <w:vAlign w:val="bottom"/>
          </w:tcPr>
          <w:p w14:paraId="19D26B12"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38626276"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3168294D"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14:paraId="0405400D"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nil"/>
              <w:left w:val="nil"/>
              <w:bottom w:val="single" w:sz="4" w:space="0" w:color="000000"/>
              <w:right w:val="nil"/>
              <w:tl2br w:val="nil"/>
              <w:tr2bl w:val="nil"/>
            </w:tcBorders>
            <w:shd w:val="clear" w:color="auto" w:fill="auto"/>
            <w:tcMar>
              <w:left w:w="40" w:type="dxa"/>
              <w:right w:w="40" w:type="dxa"/>
            </w:tcMar>
            <w:vAlign w:val="bottom"/>
          </w:tcPr>
          <w:p w14:paraId="5876D45D"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 - -</w:t>
            </w:r>
          </w:p>
        </w:tc>
      </w:tr>
      <w:tr w:rsidR="00B101BD" w14:paraId="753D3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15" w:type="dxa"/>
            <w:tcBorders>
              <w:top w:val="single" w:sz="4" w:space="0" w:color="000000"/>
              <w:left w:val="nil"/>
              <w:bottom w:val="single" w:sz="8" w:space="0" w:color="000000"/>
              <w:right w:val="nil"/>
              <w:tl2br w:val="nil"/>
              <w:tr2bl w:val="nil"/>
            </w:tcBorders>
            <w:shd w:val="clear" w:color="auto" w:fill="auto"/>
            <w:noWrap/>
            <w:tcMar>
              <w:left w:w="40" w:type="dxa"/>
              <w:right w:w="40" w:type="dxa"/>
            </w:tcMar>
            <w:vAlign w:val="bottom"/>
          </w:tcPr>
          <w:p w14:paraId="4CB97FF0" w14:textId="77777777" w:rsidR="00B101BD" w:rsidRDefault="00885344">
            <w:pPr>
              <w:spacing w:after="0" w:line="240" w:lineRule="auto"/>
              <w:jc w:val="right"/>
              <w:rPr>
                <w:rFonts w:ascii="Calibri" w:eastAsia="Calibri" w:hAnsi="Calibri" w:cs="Calibri"/>
                <w:color w:val="000000"/>
                <w:sz w:val="18"/>
              </w:rPr>
            </w:pPr>
            <w:r>
              <w:rPr>
                <w:rFonts w:ascii="Calibri" w:eastAsia="Calibri" w:hAnsi="Calibri" w:cs="Calibri"/>
                <w:color w:val="000000"/>
                <w:sz w:val="18"/>
              </w:rPr>
              <w:t>5</w:t>
            </w:r>
          </w:p>
        </w:tc>
        <w:tc>
          <w:tcPr>
            <w:tcW w:w="112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036E0258"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P. YANBU</w:t>
            </w:r>
          </w:p>
        </w:tc>
        <w:tc>
          <w:tcPr>
            <w:tcW w:w="60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2E5C8984"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2011</w:t>
            </w:r>
          </w:p>
        </w:tc>
        <w:tc>
          <w:tcPr>
            <w:tcW w:w="109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2F14527D" w14:textId="77777777" w:rsidR="00B101BD" w:rsidRDefault="00885344">
            <w:pPr>
              <w:spacing w:after="0" w:line="240" w:lineRule="auto"/>
              <w:rPr>
                <w:rFonts w:ascii="Calibri" w:eastAsia="Calibri" w:hAnsi="Calibri" w:cs="Calibri"/>
                <w:color w:val="000000"/>
                <w:sz w:val="18"/>
              </w:rPr>
            </w:pPr>
            <w:r>
              <w:rPr>
                <w:rFonts w:ascii="Calibri" w:eastAsia="Calibri" w:hAnsi="Calibri" w:cs="Calibri"/>
                <w:color w:val="000000"/>
                <w:sz w:val="18"/>
              </w:rPr>
              <w:t>105,391 DWT</w:t>
            </w:r>
          </w:p>
        </w:tc>
        <w:tc>
          <w:tcPr>
            <w:tcW w:w="171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39AD4E77" w14:textId="77777777" w:rsidR="00B101BD" w:rsidRPr="00FF4909" w:rsidRDefault="00885344">
            <w:pPr>
              <w:spacing w:after="0" w:line="240" w:lineRule="auto"/>
              <w:jc w:val="center"/>
              <w:rPr>
                <w:rFonts w:ascii="Calibri" w:eastAsia="Calibri" w:hAnsi="Calibri" w:cs="Calibri"/>
                <w:color w:val="000000"/>
                <w:sz w:val="18"/>
                <w:lang w:val="en-US"/>
              </w:rPr>
            </w:pPr>
            <w:r w:rsidRPr="00FF4909">
              <w:rPr>
                <w:rFonts w:ascii="Calibri" w:eastAsia="Calibri" w:hAnsi="Calibri" w:cs="Calibri"/>
                <w:color w:val="000000"/>
                <w:sz w:val="18"/>
                <w:lang w:val="en-US"/>
              </w:rPr>
              <w:t xml:space="preserve">Sumitomo Heavy Industries Marine &amp; Engineering Co., LTD. </w:t>
            </w:r>
          </w:p>
        </w:tc>
        <w:tc>
          <w:tcPr>
            <w:tcW w:w="99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48A808E4"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Spot</w:t>
            </w:r>
          </w:p>
        </w:tc>
        <w:tc>
          <w:tcPr>
            <w:tcW w:w="55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7169EE9D"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38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07F3EA6F"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110"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33755F4B"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w:t>
            </w:r>
          </w:p>
        </w:tc>
        <w:tc>
          <w:tcPr>
            <w:tcW w:w="1905" w:type="dxa"/>
            <w:tcBorders>
              <w:top w:val="single" w:sz="4" w:space="0" w:color="000000"/>
              <w:left w:val="nil"/>
              <w:bottom w:val="single" w:sz="8" w:space="0" w:color="000000"/>
              <w:right w:val="nil"/>
              <w:tl2br w:val="nil"/>
              <w:tr2bl w:val="nil"/>
            </w:tcBorders>
            <w:shd w:val="clear" w:color="auto" w:fill="auto"/>
            <w:tcMar>
              <w:left w:w="40" w:type="dxa"/>
              <w:right w:w="40" w:type="dxa"/>
            </w:tcMar>
            <w:vAlign w:val="bottom"/>
          </w:tcPr>
          <w:p w14:paraId="38D59836"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 xml:space="preserve"> - - - </w:t>
            </w:r>
          </w:p>
        </w:tc>
      </w:tr>
      <w:tr w:rsidR="00B101BD" w:rsidRPr="00EF096F" w14:paraId="08689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785" w:type="dxa"/>
            <w:gridSpan w:val="10"/>
            <w:tcBorders>
              <w:top w:val="nil"/>
              <w:left w:val="nil"/>
              <w:bottom w:val="nil"/>
              <w:right w:val="nil"/>
              <w:tl2br w:val="nil"/>
              <w:tr2bl w:val="nil"/>
            </w:tcBorders>
            <w:shd w:val="clear" w:color="auto" w:fill="auto"/>
            <w:tcMar>
              <w:left w:w="40" w:type="dxa"/>
              <w:right w:w="40" w:type="dxa"/>
            </w:tcMar>
            <w:vAlign w:val="bottom"/>
          </w:tcPr>
          <w:p w14:paraId="47D66EE1" w14:textId="77777777" w:rsidR="00B101BD" w:rsidRPr="00FF4909" w:rsidRDefault="00885344">
            <w:pPr>
              <w:spacing w:after="0" w:line="240" w:lineRule="auto"/>
              <w:rPr>
                <w:rFonts w:ascii="Calibri" w:eastAsia="Calibri" w:hAnsi="Calibri" w:cs="Calibri"/>
                <w:color w:val="000000"/>
                <w:sz w:val="18"/>
                <w:lang w:val="en-US"/>
              </w:rPr>
            </w:pPr>
            <w:r w:rsidRPr="00FF4909">
              <w:rPr>
                <w:rFonts w:ascii="Calibri" w:eastAsia="Calibri" w:hAnsi="Calibri" w:cs="Calibri"/>
                <w:color w:val="000000"/>
                <w:sz w:val="18"/>
                <w:lang w:val="en-US"/>
              </w:rPr>
              <w:t>(1) Total commission paid to third parties.</w:t>
            </w:r>
          </w:p>
        </w:tc>
      </w:tr>
      <w:tr w:rsidR="00B101BD" w:rsidRPr="00EF096F" w14:paraId="173B3A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0785" w:type="dxa"/>
            <w:gridSpan w:val="10"/>
            <w:tcBorders>
              <w:top w:val="nil"/>
              <w:left w:val="nil"/>
              <w:bottom w:val="nil"/>
              <w:right w:val="nil"/>
              <w:tl2br w:val="nil"/>
              <w:tr2bl w:val="nil"/>
            </w:tcBorders>
            <w:shd w:val="clear" w:color="auto" w:fill="auto"/>
            <w:tcMar>
              <w:left w:w="40" w:type="dxa"/>
              <w:right w:w="40" w:type="dxa"/>
            </w:tcMar>
            <w:vAlign w:val="bottom"/>
          </w:tcPr>
          <w:p w14:paraId="2FC0EC6F" w14:textId="77777777" w:rsidR="00B101BD" w:rsidRPr="00FF4909" w:rsidRDefault="00885344">
            <w:pPr>
              <w:spacing w:after="0" w:line="240" w:lineRule="auto"/>
              <w:rPr>
                <w:rFonts w:ascii="Calibri" w:eastAsia="Calibri" w:hAnsi="Calibri" w:cs="Calibri"/>
                <w:color w:val="000000"/>
                <w:sz w:val="18"/>
                <w:lang w:val="en-US"/>
              </w:rPr>
            </w:pPr>
            <w:r w:rsidRPr="00FF4909">
              <w:rPr>
                <w:rFonts w:ascii="Calibri" w:eastAsia="Calibri" w:hAnsi="Calibri" w:cs="Calibri"/>
                <w:color w:val="000000"/>
                <w:sz w:val="18"/>
                <w:lang w:val="en-US"/>
              </w:rPr>
              <w:t>(2) Range of redelivery dates, with the actual date of redelivery being at the Charterers’ option, but subject to the terms, conditions, and exceptions of the particular charterparty.</w:t>
            </w:r>
          </w:p>
        </w:tc>
      </w:tr>
    </w:tbl>
    <w:p w14:paraId="56483088" w14:textId="77777777" w:rsidR="00CD29FC" w:rsidRDefault="00885344" w:rsidP="00CD29FC">
      <w:pPr>
        <w:pStyle w:val="NoSpacing"/>
        <w:pageBreakBefore/>
        <w:jc w:val="both"/>
        <w:rPr>
          <w:rFonts w:cs="Calibri"/>
          <w:b/>
          <w:bCs/>
          <w:lang w:val="en-GB"/>
        </w:rPr>
      </w:pPr>
      <w:r>
        <w:rPr>
          <w:rFonts w:cs="Calibri"/>
          <w:b/>
          <w:bCs/>
          <w:lang w:val="en-GB"/>
        </w:rPr>
        <w:lastRenderedPageBreak/>
        <w:t xml:space="preserve">About the Company </w:t>
      </w:r>
    </w:p>
    <w:p w14:paraId="2A7AB822" w14:textId="77777777" w:rsidR="00CD29FC" w:rsidRDefault="00CD29FC" w:rsidP="00CD29FC">
      <w:pPr>
        <w:pStyle w:val="NoSpacing"/>
        <w:jc w:val="both"/>
        <w:rPr>
          <w:rFonts w:cs="Calibri"/>
          <w:bCs/>
          <w:lang w:val="en-GB"/>
        </w:rPr>
      </w:pPr>
    </w:p>
    <w:p w14:paraId="40F6CB51" w14:textId="77777777" w:rsidR="00CD29FC" w:rsidRDefault="00885344" w:rsidP="00CD29FC">
      <w:pPr>
        <w:pStyle w:val="NoSpacing"/>
        <w:jc w:val="both"/>
        <w:rPr>
          <w:rFonts w:cs="Calibri"/>
          <w:bCs/>
          <w:lang w:val="en-GB"/>
        </w:rPr>
      </w:pPr>
      <w:r>
        <w:rPr>
          <w:rFonts w:cs="Calibri"/>
          <w:bCs/>
          <w:lang w:val="en-GB"/>
        </w:rPr>
        <w:t xml:space="preserve">Performance Shipping Inc. is a global provider of shipping transportation services through its ownership of Aframax tankers. The Company's current fleet is employed primarily in the spot market, and in some cases, on short to medium-term time charters, with leading energy companies and traders. </w:t>
      </w:r>
    </w:p>
    <w:p w14:paraId="56E2A988" w14:textId="77777777" w:rsidR="00CD29FC" w:rsidRDefault="00CD29FC" w:rsidP="00CD29FC">
      <w:pPr>
        <w:pStyle w:val="NoSpacing"/>
        <w:jc w:val="both"/>
        <w:rPr>
          <w:rFonts w:cs="Calibri"/>
          <w:bCs/>
          <w:lang w:val="en-GB"/>
        </w:rPr>
      </w:pPr>
    </w:p>
    <w:p w14:paraId="508EAEB5" w14:textId="77777777" w:rsidR="00CD29FC" w:rsidRDefault="00885344" w:rsidP="00CD29FC">
      <w:pPr>
        <w:pStyle w:val="NoSpacing"/>
        <w:jc w:val="both"/>
        <w:rPr>
          <w:rFonts w:cs="Calibri"/>
          <w:b/>
          <w:bCs/>
          <w:lang w:val="en-GB"/>
        </w:rPr>
      </w:pPr>
      <w:r>
        <w:rPr>
          <w:rFonts w:cs="Calibri"/>
          <w:b/>
          <w:bCs/>
          <w:lang w:val="en-GB"/>
        </w:rPr>
        <w:t xml:space="preserve">Cautionary Statement Regarding Forward-Looking Statements </w:t>
      </w:r>
    </w:p>
    <w:p w14:paraId="0CD1299A" w14:textId="77777777" w:rsidR="00CD29FC" w:rsidRDefault="00CD29FC" w:rsidP="00CD29FC">
      <w:pPr>
        <w:pStyle w:val="NoSpacing"/>
        <w:jc w:val="both"/>
        <w:rPr>
          <w:rFonts w:cs="Calibri"/>
          <w:bCs/>
          <w:lang w:val="en-GB"/>
        </w:rPr>
      </w:pPr>
    </w:p>
    <w:p w14:paraId="4F35B63C" w14:textId="77777777" w:rsidR="00CD29FC" w:rsidRDefault="00885344" w:rsidP="00CD29FC">
      <w:pPr>
        <w:pStyle w:val="NoSpacing"/>
        <w:jc w:val="both"/>
        <w:rPr>
          <w:rFonts w:cs="Calibri"/>
          <w:bCs/>
          <w:lang w:val="en-GB"/>
        </w:rPr>
      </w:pPr>
      <w:r>
        <w:rPr>
          <w:rFonts w:cs="Calibri"/>
          <w:bCs/>
          <w:lang w:val="en-GB"/>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but are not limited to, statements concerning plans, objectives, goals, strategies, future events or performance, and underlying assumptions and other statements, which are other than statements of historical facts.</w:t>
      </w:r>
    </w:p>
    <w:p w14:paraId="5A9D0BF7" w14:textId="77777777" w:rsidR="00CD29FC" w:rsidRDefault="00CD29FC" w:rsidP="00CD29FC">
      <w:pPr>
        <w:pStyle w:val="NoSpacing"/>
        <w:jc w:val="both"/>
        <w:rPr>
          <w:rFonts w:cs="Calibri"/>
          <w:bCs/>
          <w:lang w:val="en-GB"/>
        </w:rPr>
      </w:pPr>
    </w:p>
    <w:p w14:paraId="55E0D959" w14:textId="77777777" w:rsidR="00CD29FC" w:rsidRDefault="00885344" w:rsidP="00CD29FC">
      <w:pPr>
        <w:pStyle w:val="NoSpacing"/>
        <w:jc w:val="both"/>
        <w:rPr>
          <w:rFonts w:cs="Calibri"/>
          <w:bCs/>
          <w:lang w:val="en-GB"/>
        </w:rPr>
      </w:pPr>
      <w:r>
        <w:rPr>
          <w:rFonts w:cs="Calibri"/>
          <w:bCs/>
          <w:lang w:val="en-GB"/>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terms or phrases may identify forward-looking statements.</w:t>
      </w:r>
    </w:p>
    <w:p w14:paraId="2DFF0446" w14:textId="77777777" w:rsidR="00CD29FC" w:rsidRDefault="00CD29FC" w:rsidP="00CD29FC">
      <w:pPr>
        <w:pStyle w:val="NoSpacing"/>
        <w:jc w:val="both"/>
        <w:rPr>
          <w:rFonts w:cs="Calibri"/>
          <w:bCs/>
          <w:lang w:val="en-GB"/>
        </w:rPr>
      </w:pPr>
    </w:p>
    <w:p w14:paraId="2B53BC36" w14:textId="77777777" w:rsidR="00CD29FC" w:rsidRDefault="00885344" w:rsidP="00CD29FC">
      <w:pPr>
        <w:pStyle w:val="NoSpacing"/>
        <w:jc w:val="both"/>
        <w:rPr>
          <w:rFonts w:cs="Calibri"/>
          <w:bCs/>
          <w:lang w:val="en-GB"/>
        </w:rPr>
      </w:pPr>
      <w:r>
        <w:rPr>
          <w:rFonts w:cs="Calibri"/>
          <w:bCs/>
          <w:lang w:val="en-GB"/>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466821BC" w14:textId="77777777" w:rsidR="00CD29FC" w:rsidRDefault="00CD29FC" w:rsidP="00CD29FC">
      <w:pPr>
        <w:pStyle w:val="NoSpacing"/>
        <w:jc w:val="both"/>
        <w:rPr>
          <w:rFonts w:cs="Calibri"/>
          <w:bCs/>
          <w:lang w:val="en-GB"/>
        </w:rPr>
      </w:pPr>
    </w:p>
    <w:p w14:paraId="23E2F307" w14:textId="77777777" w:rsidR="00CD29FC" w:rsidRDefault="00885344" w:rsidP="00CD29FC">
      <w:pPr>
        <w:pStyle w:val="NoSpacing"/>
        <w:jc w:val="both"/>
        <w:rPr>
          <w:rFonts w:cs="Calibri"/>
          <w:bCs/>
          <w:lang w:val="en-GB"/>
        </w:rPr>
      </w:pPr>
      <w:r>
        <w:rPr>
          <w:rFonts w:cs="Calibri"/>
          <w:bCs/>
          <w:lang w:val="en-GB"/>
        </w:rPr>
        <w:t>In addition to these important factors, other important factors that, in our view, could cause actual results to differ materially from those discussed in the forward-looking statements include the strength of world economies, fluctuations in currencies and interest rates, general market conditions, including fluctuations in charter hire rates and vessel values, changes in demand for our vessels, changes in the supply of vessels, changes in worldwide oil production and consumption and storage, changes in our operating expenses, including bunker prices, crew costs, dry-docking and insurance costs, our future operating or financial results, availability of financing and refinancing, changes in governmental rules and regulations or actions taken by regulatory authorities, potential liability from pending or future litigation, general domestic and international political conditions, the length and severity of epidemics and pandemics, including the ongoing outbreak of the novel coronavirus (COVID-19) and its impact on the demand for seaborne transportation of petroleum and other types of products, 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p w14:paraId="54922331" w14:textId="77777777" w:rsidR="00CD29FC" w:rsidRDefault="00CD29FC" w:rsidP="00CD29FC">
      <w:pPr>
        <w:pStyle w:val="NoSpacing"/>
        <w:jc w:val="both"/>
        <w:rPr>
          <w:rFonts w:cs="Calibri"/>
          <w:lang w:val="en-US"/>
        </w:rPr>
      </w:pPr>
    </w:p>
    <w:p w14:paraId="055CEBDE" w14:textId="77777777" w:rsidR="00CD29FC" w:rsidRDefault="00885344" w:rsidP="00CD29FC">
      <w:pPr>
        <w:pStyle w:val="NoSpacing"/>
        <w:jc w:val="both"/>
        <w:rPr>
          <w:rFonts w:cs="Calibri"/>
          <w:b/>
          <w:lang w:val="en-US"/>
        </w:rPr>
      </w:pPr>
      <w:r>
        <w:rPr>
          <w:rFonts w:cs="Calibri"/>
          <w:b/>
          <w:lang w:val="en-US"/>
        </w:rPr>
        <w:t>Disclaimer</w:t>
      </w:r>
    </w:p>
    <w:p w14:paraId="58D147B0" w14:textId="77777777" w:rsidR="00CD29FC" w:rsidRDefault="00CD29FC" w:rsidP="00CD29FC">
      <w:pPr>
        <w:pStyle w:val="NoSpacing"/>
        <w:jc w:val="both"/>
        <w:rPr>
          <w:rFonts w:cs="Calibri"/>
          <w:b/>
          <w:lang w:val="en-US"/>
        </w:rPr>
      </w:pPr>
    </w:p>
    <w:p w14:paraId="6FB812EF" w14:textId="77777777" w:rsidR="00CD29FC" w:rsidRDefault="00885344" w:rsidP="00CD29FC">
      <w:pPr>
        <w:pStyle w:val="NoSpacing"/>
        <w:jc w:val="both"/>
        <w:rPr>
          <w:rFonts w:cs="Calibri"/>
          <w:lang w:val="en-US"/>
        </w:rPr>
      </w:pPr>
      <w:r>
        <w:rPr>
          <w:rFonts w:cs="Calibri"/>
          <w:lang w:val="en-US"/>
        </w:rPr>
        <w:t>This press release does not constitute an offer to sell or the solicitation of an offer to buy securities and shall not constitute an offer, solicitation or sale in any jurisdiction in which such offer, solicitation or sale is unlawful.</w:t>
      </w:r>
    </w:p>
    <w:p w14:paraId="03BB5F87" w14:textId="77777777" w:rsidR="00CD29FC" w:rsidRDefault="00CD29FC" w:rsidP="00CD29FC">
      <w:pPr>
        <w:pStyle w:val="BodyText"/>
        <w:tabs>
          <w:tab w:val="left" w:pos="540"/>
        </w:tabs>
        <w:jc w:val="center"/>
        <w:rPr>
          <w:rFonts w:ascii="Calibri" w:eastAsia="Calibri" w:hAnsi="Calibri" w:cs="Calibri"/>
          <w:lang w:val="en-GB"/>
        </w:rPr>
      </w:pPr>
    </w:p>
    <w:p w14:paraId="464C6588" w14:textId="77777777" w:rsidR="00CD29FC" w:rsidRDefault="00885344" w:rsidP="00CD29FC">
      <w:pPr>
        <w:pStyle w:val="BodyText"/>
        <w:tabs>
          <w:tab w:val="left" w:pos="540"/>
        </w:tabs>
        <w:jc w:val="center"/>
        <w:rPr>
          <w:rFonts w:ascii="Calibri" w:eastAsia="Calibri" w:hAnsi="Calibri" w:cs="Calibri"/>
          <w:lang w:val="en-GB"/>
        </w:rPr>
      </w:pPr>
      <w:r>
        <w:rPr>
          <w:rFonts w:ascii="Calibri" w:eastAsia="Calibri" w:hAnsi="Calibri" w:cs="Calibri"/>
          <w:lang w:val="en-GB"/>
        </w:rPr>
        <w:t>(See financial tables attached)</w:t>
      </w:r>
    </w:p>
    <w:tbl>
      <w:tblPr>
        <w:tblStyle w:val="CDMRange1"/>
        <w:tblW w:w="10455" w:type="dxa"/>
        <w:tblLayout w:type="fixed"/>
        <w:tblLook w:val="0600" w:firstRow="0" w:lastRow="0" w:firstColumn="0" w:lastColumn="0" w:noHBand="1" w:noVBand="1"/>
      </w:tblPr>
      <w:tblGrid>
        <w:gridCol w:w="195"/>
        <w:gridCol w:w="5760"/>
        <w:gridCol w:w="180"/>
        <w:gridCol w:w="2070"/>
        <w:gridCol w:w="180"/>
        <w:gridCol w:w="2070"/>
      </w:tblGrid>
      <w:tr w:rsidR="00B101BD" w14:paraId="56E1B0CB" w14:textId="77777777">
        <w:trPr>
          <w:trHeight w:hRule="exact" w:val="300"/>
        </w:trPr>
        <w:tc>
          <w:tcPr>
            <w:tcW w:w="10455" w:type="dxa"/>
            <w:gridSpan w:val="6"/>
            <w:tcBorders>
              <w:top w:val="nil"/>
              <w:left w:val="nil"/>
              <w:bottom w:val="nil"/>
              <w:right w:val="nil"/>
              <w:tl2br w:val="nil"/>
              <w:tr2bl w:val="nil"/>
            </w:tcBorders>
            <w:shd w:val="clear" w:color="auto" w:fill="auto"/>
            <w:noWrap/>
            <w:tcMar>
              <w:left w:w="40" w:type="dxa"/>
              <w:right w:w="40" w:type="dxa"/>
            </w:tcMar>
            <w:vAlign w:val="bottom"/>
          </w:tcPr>
          <w:p w14:paraId="7BDFE1AD" w14:textId="77777777" w:rsidR="00B101BD" w:rsidRDefault="00885344">
            <w:pPr>
              <w:pageBreakBefore/>
              <w:spacing w:after="0" w:line="240" w:lineRule="auto"/>
              <w:jc w:val="center"/>
              <w:rPr>
                <w:rFonts w:ascii="Calibri" w:eastAsia="Calibri" w:hAnsi="Calibri" w:cs="Calibri"/>
                <w:b/>
                <w:color w:val="000000"/>
                <w:sz w:val="20"/>
              </w:rPr>
            </w:pPr>
            <w:r>
              <w:rPr>
                <w:rFonts w:ascii="Calibri" w:eastAsia="Calibri" w:hAnsi="Calibri" w:cs="Calibri"/>
                <w:b/>
                <w:color w:val="000000"/>
                <w:sz w:val="20"/>
              </w:rPr>
              <w:lastRenderedPageBreak/>
              <w:t>PERFORMANCE SHIPPING INC.</w:t>
            </w:r>
          </w:p>
        </w:tc>
      </w:tr>
      <w:tr w:rsidR="00B101BD" w14:paraId="0D05C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455" w:type="dxa"/>
            <w:gridSpan w:val="6"/>
            <w:tcBorders>
              <w:top w:val="nil"/>
              <w:left w:val="nil"/>
              <w:bottom w:val="nil"/>
              <w:right w:val="nil"/>
              <w:tl2br w:val="nil"/>
              <w:tr2bl w:val="nil"/>
            </w:tcBorders>
            <w:shd w:val="clear" w:color="auto" w:fill="auto"/>
            <w:noWrap/>
            <w:tcMar>
              <w:left w:w="40" w:type="dxa"/>
              <w:right w:w="40" w:type="dxa"/>
            </w:tcMar>
            <w:vAlign w:val="bottom"/>
          </w:tcPr>
          <w:p w14:paraId="2B483AD5" w14:textId="77777777" w:rsidR="00B101BD" w:rsidRDefault="00885344">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FINANCIAL TABLES</w:t>
            </w:r>
          </w:p>
        </w:tc>
      </w:tr>
      <w:tr w:rsidR="00B101BD" w:rsidRPr="00EF096F" w14:paraId="31F365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455" w:type="dxa"/>
            <w:gridSpan w:val="6"/>
            <w:tcBorders>
              <w:top w:val="nil"/>
              <w:left w:val="nil"/>
              <w:bottom w:val="nil"/>
              <w:right w:val="nil"/>
              <w:tl2br w:val="nil"/>
              <w:tr2bl w:val="nil"/>
            </w:tcBorders>
            <w:shd w:val="clear" w:color="auto" w:fill="auto"/>
            <w:noWrap/>
            <w:tcMar>
              <w:left w:w="40" w:type="dxa"/>
              <w:right w:w="40" w:type="dxa"/>
            </w:tcMar>
            <w:vAlign w:val="bottom"/>
          </w:tcPr>
          <w:p w14:paraId="314151FF" w14:textId="77777777" w:rsidR="00B101BD" w:rsidRPr="00FF4909" w:rsidRDefault="00885344">
            <w:pPr>
              <w:spacing w:after="0" w:line="240" w:lineRule="auto"/>
              <w:jc w:val="center"/>
              <w:rPr>
                <w:rFonts w:ascii="Calibri" w:eastAsia="Calibri" w:hAnsi="Calibri" w:cs="Calibri"/>
                <w:color w:val="000000"/>
                <w:sz w:val="20"/>
                <w:lang w:val="en-US"/>
              </w:rPr>
            </w:pPr>
            <w:r w:rsidRPr="00FF4909">
              <w:rPr>
                <w:rFonts w:ascii="Calibri" w:eastAsia="Calibri" w:hAnsi="Calibri" w:cs="Calibri"/>
                <w:color w:val="000000"/>
                <w:sz w:val="20"/>
                <w:lang w:val="en-US"/>
              </w:rPr>
              <w:t>Expressed in thousands of U.S. Dollars, except for share and per share data</w:t>
            </w:r>
          </w:p>
        </w:tc>
      </w:tr>
      <w:tr w:rsidR="00B101BD" w:rsidRPr="00EF096F" w14:paraId="447A04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455" w:type="dxa"/>
            <w:gridSpan w:val="6"/>
            <w:tcBorders>
              <w:top w:val="nil"/>
              <w:left w:val="nil"/>
              <w:bottom w:val="nil"/>
              <w:right w:val="nil"/>
              <w:tl2br w:val="nil"/>
              <w:tr2bl w:val="nil"/>
            </w:tcBorders>
            <w:shd w:val="clear" w:color="auto" w:fill="auto"/>
            <w:noWrap/>
            <w:tcMar>
              <w:left w:w="40" w:type="dxa"/>
              <w:right w:w="40" w:type="dxa"/>
            </w:tcMar>
            <w:vAlign w:val="bottom"/>
          </w:tcPr>
          <w:p w14:paraId="61924BFD" w14:textId="77777777" w:rsidR="00B101BD" w:rsidRPr="00FF4909" w:rsidRDefault="00885344">
            <w:pPr>
              <w:spacing w:after="0" w:line="240" w:lineRule="auto"/>
              <w:jc w:val="center"/>
              <w:rPr>
                <w:rFonts w:ascii="Calibri" w:eastAsia="Calibri" w:hAnsi="Calibri" w:cs="Calibri"/>
                <w:b/>
                <w:color w:val="000000"/>
                <w:sz w:val="20"/>
                <w:lang w:val="en-US"/>
              </w:rPr>
            </w:pPr>
            <w:r w:rsidRPr="00FF4909">
              <w:rPr>
                <w:rFonts w:ascii="Calibri" w:eastAsia="Calibri" w:hAnsi="Calibri" w:cs="Calibri"/>
                <w:b/>
                <w:color w:val="000000"/>
                <w:sz w:val="20"/>
                <w:lang w:val="en-US"/>
              </w:rPr>
              <w:t>UNAUDITED INTERIM CONSOLIDATED STATEMENTS OF OPERATIONS (CONTINUING AND DISCONTINUED OPERATIONS)</w:t>
            </w:r>
          </w:p>
        </w:tc>
      </w:tr>
      <w:tr w:rsidR="00B101BD" w:rsidRPr="00EF096F" w14:paraId="6714D6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804AEB5" w14:textId="77777777" w:rsidR="00B101BD" w:rsidRPr="00FF4909" w:rsidRDefault="00B101BD">
            <w:pPr>
              <w:spacing w:after="0" w:line="240" w:lineRule="auto"/>
              <w:rPr>
                <w:rFonts w:ascii="Calibri" w:eastAsia="Calibri" w:hAnsi="Calibri" w:cs="Calibri"/>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06AF2555" w14:textId="77777777" w:rsidR="00B101BD" w:rsidRPr="00FF4909" w:rsidRDefault="00B101BD">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837DD9D" w14:textId="77777777" w:rsidR="00B101BD" w:rsidRPr="00FF4909" w:rsidRDefault="00B101BD">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623D7832"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B38FDCA" w14:textId="77777777" w:rsidR="00B101BD" w:rsidRPr="00FF4909" w:rsidRDefault="00B101BD">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046D103E" w14:textId="77777777" w:rsidR="00B101BD" w:rsidRPr="00FF4909" w:rsidRDefault="00B101BD">
            <w:pPr>
              <w:spacing w:after="0" w:line="240" w:lineRule="auto"/>
              <w:jc w:val="center"/>
              <w:rPr>
                <w:rFonts w:ascii="Calibri" w:eastAsia="Calibri" w:hAnsi="Calibri" w:cs="Calibri"/>
                <w:b/>
                <w:color w:val="000000"/>
                <w:sz w:val="20"/>
                <w:lang w:val="en-US"/>
              </w:rPr>
            </w:pPr>
          </w:p>
        </w:tc>
      </w:tr>
      <w:tr w:rsidR="00B101BD" w:rsidRPr="00EF096F" w14:paraId="653CFC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57D18AC"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4B284631" w14:textId="77777777" w:rsidR="00B101BD" w:rsidRPr="00FF4909" w:rsidRDefault="00B101BD">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319991F"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4320" w:type="dxa"/>
            <w:gridSpan w:val="3"/>
            <w:tcBorders>
              <w:top w:val="nil"/>
              <w:left w:val="nil"/>
              <w:bottom w:val="nil"/>
              <w:right w:val="nil"/>
              <w:tl2br w:val="nil"/>
              <w:tr2bl w:val="nil"/>
            </w:tcBorders>
            <w:shd w:val="clear" w:color="auto" w:fill="auto"/>
            <w:tcMar>
              <w:left w:w="40" w:type="dxa"/>
              <w:right w:w="40" w:type="dxa"/>
            </w:tcMar>
            <w:vAlign w:val="bottom"/>
          </w:tcPr>
          <w:p w14:paraId="68141380" w14:textId="77777777" w:rsidR="00B101BD" w:rsidRPr="00FF4909" w:rsidRDefault="00885344">
            <w:pPr>
              <w:spacing w:after="0" w:line="240" w:lineRule="auto"/>
              <w:jc w:val="center"/>
              <w:rPr>
                <w:rFonts w:ascii="Calibri" w:eastAsia="Calibri" w:hAnsi="Calibri" w:cs="Calibri"/>
                <w:b/>
                <w:color w:val="000000"/>
                <w:sz w:val="18"/>
                <w:lang w:val="en-US"/>
              </w:rPr>
            </w:pPr>
            <w:r w:rsidRPr="00FF4909">
              <w:rPr>
                <w:rFonts w:ascii="Calibri" w:eastAsia="Calibri" w:hAnsi="Calibri" w:cs="Calibri"/>
                <w:b/>
                <w:color w:val="000000"/>
                <w:sz w:val="18"/>
                <w:lang w:val="en-US"/>
              </w:rPr>
              <w:t>For the three months ended March 31,</w:t>
            </w:r>
          </w:p>
        </w:tc>
      </w:tr>
      <w:tr w:rsidR="00B101BD" w14:paraId="1053DE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FA23829"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3D516E7C" w14:textId="77777777" w:rsidR="00B101BD" w:rsidRPr="00FF4909" w:rsidRDefault="00B101BD">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80872F8"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20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72F91D2"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FA1DB2" w14:textId="77777777" w:rsidR="00B101BD" w:rsidRDefault="00B101BD">
            <w:pPr>
              <w:spacing w:after="0" w:line="240" w:lineRule="auto"/>
              <w:jc w:val="center"/>
              <w:rPr>
                <w:rFonts w:ascii="Calibri" w:eastAsia="Calibri" w:hAnsi="Calibri" w:cs="Calibri"/>
                <w:b/>
                <w:color w:val="000000"/>
                <w:sz w:val="18"/>
              </w:rPr>
            </w:pPr>
          </w:p>
        </w:tc>
        <w:tc>
          <w:tcPr>
            <w:tcW w:w="20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45231F8"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r>
      <w:tr w:rsidR="00B101BD" w14:paraId="4B329E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955" w:type="dxa"/>
            <w:gridSpan w:val="2"/>
            <w:tcBorders>
              <w:top w:val="nil"/>
              <w:left w:val="nil"/>
              <w:bottom w:val="nil"/>
              <w:right w:val="nil"/>
              <w:tl2br w:val="nil"/>
              <w:tr2bl w:val="nil"/>
            </w:tcBorders>
            <w:shd w:val="clear" w:color="auto" w:fill="auto"/>
            <w:noWrap/>
            <w:tcMar>
              <w:left w:w="40" w:type="dxa"/>
              <w:right w:w="40" w:type="dxa"/>
            </w:tcMar>
            <w:vAlign w:val="bottom"/>
          </w:tcPr>
          <w:p w14:paraId="7C7D1BCE"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REVENUES: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6A0B827" w14:textId="77777777" w:rsidR="00B101BD" w:rsidRDefault="00B101BD">
            <w:pPr>
              <w:spacing w:after="0" w:line="240" w:lineRule="auto"/>
              <w:rPr>
                <w:rFonts w:ascii="Calibri" w:eastAsia="Calibri" w:hAnsi="Calibri" w:cs="Calibri"/>
                <w:color w:val="000000"/>
                <w:sz w:val="20"/>
              </w:rPr>
            </w:pPr>
          </w:p>
        </w:tc>
        <w:tc>
          <w:tcPr>
            <w:tcW w:w="20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C595FF" w14:textId="77777777" w:rsidR="00B101BD" w:rsidRDefault="00B101BD">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D182BB5" w14:textId="77777777" w:rsidR="00B101BD" w:rsidRDefault="00B101BD">
            <w:pPr>
              <w:spacing w:after="0" w:line="240" w:lineRule="auto"/>
              <w:jc w:val="center"/>
              <w:rPr>
                <w:rFonts w:ascii="Calibri" w:eastAsia="Calibri" w:hAnsi="Calibri" w:cs="Calibri"/>
                <w:color w:val="000000"/>
                <w:sz w:val="18"/>
              </w:rPr>
            </w:pPr>
          </w:p>
        </w:tc>
        <w:tc>
          <w:tcPr>
            <w:tcW w:w="20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5190F3" w14:textId="77777777" w:rsidR="00B101BD" w:rsidRDefault="00B101BD">
            <w:pPr>
              <w:spacing w:after="0" w:line="240" w:lineRule="auto"/>
              <w:jc w:val="center"/>
              <w:rPr>
                <w:rFonts w:ascii="Calibri" w:eastAsia="Calibri" w:hAnsi="Calibri" w:cs="Calibri"/>
                <w:color w:val="000000"/>
                <w:sz w:val="18"/>
              </w:rPr>
            </w:pPr>
          </w:p>
        </w:tc>
      </w:tr>
      <w:tr w:rsidR="00B101BD" w14:paraId="0A321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FE7635E"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1ADC01E4"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5413B4F"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328CF10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8,397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406B31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7012541F"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13,504</w:t>
            </w:r>
          </w:p>
        </w:tc>
      </w:tr>
      <w:tr w:rsidR="00B101BD" w14:paraId="50EB0F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F51244A"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26EA12BC"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CDD86B1" w14:textId="77777777" w:rsidR="00B101BD" w:rsidRDefault="00B101BD">
            <w:pPr>
              <w:spacing w:after="0" w:line="240" w:lineRule="auto"/>
              <w:jc w:val="right"/>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598530AE"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5A97121" w14:textId="77777777" w:rsidR="00B101BD" w:rsidRDefault="00B101BD">
            <w:pPr>
              <w:spacing w:after="0" w:line="240" w:lineRule="auto"/>
              <w:jc w:val="right"/>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3065EABD" w14:textId="77777777" w:rsidR="00B101BD" w:rsidRDefault="00B101BD">
            <w:pPr>
              <w:spacing w:after="0" w:line="240" w:lineRule="auto"/>
              <w:rPr>
                <w:rFonts w:ascii="Calibri" w:eastAsia="Calibri" w:hAnsi="Calibri" w:cs="Calibri"/>
                <w:color w:val="000000"/>
                <w:sz w:val="20"/>
              </w:rPr>
            </w:pPr>
          </w:p>
        </w:tc>
      </w:tr>
      <w:tr w:rsidR="00B101BD" w14:paraId="31D6D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955" w:type="dxa"/>
            <w:gridSpan w:val="2"/>
            <w:tcBorders>
              <w:top w:val="nil"/>
              <w:left w:val="nil"/>
              <w:bottom w:val="nil"/>
              <w:right w:val="nil"/>
              <w:tl2br w:val="nil"/>
              <w:tr2bl w:val="nil"/>
            </w:tcBorders>
            <w:shd w:val="clear" w:color="auto" w:fill="auto"/>
            <w:noWrap/>
            <w:tcMar>
              <w:left w:w="40" w:type="dxa"/>
              <w:right w:w="40" w:type="dxa"/>
            </w:tcMar>
            <w:vAlign w:val="bottom"/>
          </w:tcPr>
          <w:p w14:paraId="64C92B32"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48AF834"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3260B0F8"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271D7E9"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2474D9DE" w14:textId="77777777" w:rsidR="00B101BD" w:rsidRDefault="00B101BD">
            <w:pPr>
              <w:spacing w:after="0" w:line="240" w:lineRule="auto"/>
              <w:rPr>
                <w:rFonts w:ascii="Calibri" w:eastAsia="Calibri" w:hAnsi="Calibri" w:cs="Calibri"/>
                <w:color w:val="000000"/>
                <w:sz w:val="20"/>
              </w:rPr>
            </w:pPr>
          </w:p>
        </w:tc>
      </w:tr>
      <w:tr w:rsidR="00B101BD" w14:paraId="0B009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9798B70"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66E6F9D0"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0A8E42"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1E0050D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4,936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D294FC6"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04E61D5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4,308</w:t>
            </w:r>
          </w:p>
        </w:tc>
      </w:tr>
      <w:tr w:rsidR="00B101BD" w14:paraId="05672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1D02C91"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1A4A953D"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A4C017A"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10E187A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2,878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1CEAF4"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6B6E66B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3,096</w:t>
            </w:r>
          </w:p>
        </w:tc>
      </w:tr>
      <w:tr w:rsidR="00B101BD" w14:paraId="6CEB6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135AEF1"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63853242"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Depreciation and amortization of deferred charges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E5FE99" w14:textId="77777777" w:rsidR="00B101BD" w:rsidRPr="00FF4909" w:rsidRDefault="00B101BD">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1D64E74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1,816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3099BBC"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62A8485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1,101</w:t>
            </w:r>
          </w:p>
        </w:tc>
      </w:tr>
      <w:tr w:rsidR="00B101BD" w14:paraId="10EE47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DEE810E"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61D9AAC2"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Management fees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78C8EA"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12C09D3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5B0EBC"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7A51030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192</w:t>
            </w:r>
          </w:p>
        </w:tc>
      </w:tr>
      <w:tr w:rsidR="00B101BD" w14:paraId="0847B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04200FD"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1F2CA4A8"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General and administrative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EB58418"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649955FF"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1,503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9850A33"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2FE53C5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2,612</w:t>
            </w:r>
          </w:p>
        </w:tc>
      </w:tr>
      <w:tr w:rsidR="00B101BD" w14:paraId="027C42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25AA5E5"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2A9B2912"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Impairment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D835A14"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5323702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918B0A"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178FCB7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339</w:t>
            </w:r>
          </w:p>
        </w:tc>
      </w:tr>
      <w:tr w:rsidR="00B101BD" w14:paraId="719AC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401DFE6"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06F77AB0"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Provision for doubtful receivables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F2A6D5B"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79B2177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3B4783"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3D333C3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86</w:t>
            </w:r>
          </w:p>
        </w:tc>
      </w:tr>
      <w:tr w:rsidR="00B101BD" w14:paraId="5406CD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ABFCE1C"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0B52F040"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Foreign currency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D78632"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243CF74"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E7A8430"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D2DE06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21</w:t>
            </w:r>
          </w:p>
        </w:tc>
      </w:tr>
      <w:tr w:rsidR="00B101BD" w14:paraId="4A8C43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40FFBAB"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14369C73"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Operating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E1CACA4"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7D17C04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(2,794)</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338668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14:paraId="75C2BAF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1,749</w:t>
            </w:r>
          </w:p>
        </w:tc>
      </w:tr>
      <w:tr w:rsidR="00B101BD" w14:paraId="5C943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1FC785F"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4DA275A1"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C878644" w14:textId="77777777" w:rsidR="00B101BD" w:rsidRDefault="00B101BD">
            <w:pPr>
              <w:spacing w:after="0" w:line="240" w:lineRule="auto"/>
              <w:rPr>
                <w:rFonts w:ascii="Calibri" w:eastAsia="Calibri" w:hAnsi="Calibri" w:cs="Calibri"/>
                <w:color w:val="000000"/>
                <w:sz w:val="20"/>
              </w:rPr>
            </w:pPr>
          </w:p>
        </w:tc>
        <w:tc>
          <w:tcPr>
            <w:tcW w:w="2070"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2636DB50"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188423D" w14:textId="77777777" w:rsidR="00B101BD" w:rsidRDefault="00B101BD">
            <w:pPr>
              <w:spacing w:after="0" w:line="240" w:lineRule="auto"/>
              <w:rPr>
                <w:rFonts w:ascii="Calibri" w:eastAsia="Calibri" w:hAnsi="Calibri" w:cs="Calibri"/>
                <w:color w:val="000000"/>
                <w:sz w:val="20"/>
              </w:rPr>
            </w:pPr>
          </w:p>
        </w:tc>
        <w:tc>
          <w:tcPr>
            <w:tcW w:w="2070"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0361DE27" w14:textId="77777777" w:rsidR="00B101BD" w:rsidRDefault="00B101BD">
            <w:pPr>
              <w:spacing w:after="0" w:line="240" w:lineRule="auto"/>
              <w:rPr>
                <w:rFonts w:ascii="Calibri" w:eastAsia="Calibri" w:hAnsi="Calibri" w:cs="Calibri"/>
                <w:color w:val="000000"/>
                <w:sz w:val="20"/>
              </w:rPr>
            </w:pPr>
          </w:p>
        </w:tc>
      </w:tr>
      <w:tr w:rsidR="00B101BD" w14:paraId="34617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955" w:type="dxa"/>
            <w:gridSpan w:val="2"/>
            <w:tcBorders>
              <w:top w:val="nil"/>
              <w:left w:val="nil"/>
              <w:bottom w:val="nil"/>
              <w:right w:val="nil"/>
              <w:tl2br w:val="nil"/>
              <w:tr2bl w:val="nil"/>
            </w:tcBorders>
            <w:shd w:val="clear" w:color="auto" w:fill="auto"/>
            <w:noWrap/>
            <w:tcMar>
              <w:left w:w="40" w:type="dxa"/>
              <w:right w:w="40" w:type="dxa"/>
            </w:tcMar>
            <w:vAlign w:val="bottom"/>
          </w:tcPr>
          <w:p w14:paraId="3CF39098"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OTHER INCOME /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6FEFDA5"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5F558865"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F5E6248"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12ED4AF6" w14:textId="77777777" w:rsidR="00B101BD" w:rsidRDefault="00B101BD">
            <w:pPr>
              <w:spacing w:after="0" w:line="240" w:lineRule="auto"/>
              <w:rPr>
                <w:rFonts w:ascii="Calibri" w:eastAsia="Calibri" w:hAnsi="Calibri" w:cs="Calibri"/>
                <w:color w:val="000000"/>
                <w:sz w:val="20"/>
              </w:rPr>
            </w:pPr>
          </w:p>
        </w:tc>
      </w:tr>
      <w:tr w:rsidR="00B101BD" w14:paraId="6701F4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AB60C2D"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54FDDCA9"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Interest and finance costs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A070FB8"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40" w:type="dxa"/>
            </w:tcMar>
            <w:vAlign w:val="bottom"/>
          </w:tcPr>
          <w:p w14:paraId="6BF2D4E4"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(467)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DDE20DE"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40" w:type="dxa"/>
            </w:tcMar>
            <w:vAlign w:val="bottom"/>
          </w:tcPr>
          <w:p w14:paraId="2D9FD02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(527)</w:t>
            </w:r>
          </w:p>
        </w:tc>
      </w:tr>
      <w:tr w:rsidR="00B101BD" w14:paraId="3DA031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1100437"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6E7E8BE4"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Interest income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C9A8D6"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5E5EC8B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54736C6"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480D346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73</w:t>
            </w:r>
          </w:p>
        </w:tc>
      </w:tr>
      <w:tr w:rsidR="00B101BD" w14:paraId="0A986F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59BC726"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0433CD5B"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Other revenues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259D9A6"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BFF9AF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400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7E97BAD"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33A9CA6"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B101BD" w14:paraId="1B0DBB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4F7DB14"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039C5B5F"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Total other expenses, net</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069FB7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1CE0E7A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B2419A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32F9250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(454)</w:t>
            </w:r>
          </w:p>
        </w:tc>
      </w:tr>
      <w:tr w:rsidR="00B101BD" w14:paraId="28434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8F1687E"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6042A195"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73DBC0C" w14:textId="77777777" w:rsidR="00B101BD" w:rsidRDefault="00B101BD">
            <w:pPr>
              <w:spacing w:after="0" w:line="240" w:lineRule="auto"/>
              <w:rPr>
                <w:rFonts w:ascii="Calibri" w:eastAsia="Calibri" w:hAnsi="Calibri" w:cs="Calibri"/>
                <w:color w:val="000000"/>
                <w:sz w:val="20"/>
              </w:rPr>
            </w:pPr>
          </w:p>
        </w:tc>
        <w:tc>
          <w:tcPr>
            <w:tcW w:w="2070"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16642048"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A3730D1" w14:textId="77777777" w:rsidR="00B101BD" w:rsidRDefault="00B101BD">
            <w:pPr>
              <w:spacing w:after="0" w:line="240" w:lineRule="auto"/>
              <w:rPr>
                <w:rFonts w:ascii="Calibri" w:eastAsia="Calibri" w:hAnsi="Calibri" w:cs="Calibri"/>
                <w:color w:val="000000"/>
                <w:sz w:val="20"/>
              </w:rPr>
            </w:pPr>
          </w:p>
        </w:tc>
        <w:tc>
          <w:tcPr>
            <w:tcW w:w="2070"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5258806A" w14:textId="77777777" w:rsidR="00B101BD" w:rsidRDefault="00B101BD">
            <w:pPr>
              <w:spacing w:after="0" w:line="240" w:lineRule="auto"/>
              <w:rPr>
                <w:rFonts w:ascii="Calibri" w:eastAsia="Calibri" w:hAnsi="Calibri" w:cs="Calibri"/>
                <w:color w:val="000000"/>
                <w:sz w:val="20"/>
              </w:rPr>
            </w:pPr>
          </w:p>
        </w:tc>
      </w:tr>
      <w:tr w:rsidR="00B101BD" w14:paraId="33ECE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5955" w:type="dxa"/>
            <w:gridSpan w:val="2"/>
            <w:tcBorders>
              <w:top w:val="nil"/>
              <w:left w:val="nil"/>
              <w:bottom w:val="nil"/>
              <w:right w:val="nil"/>
              <w:tl2br w:val="nil"/>
              <w:tr2bl w:val="nil"/>
            </w:tcBorders>
            <w:shd w:val="clear" w:color="auto" w:fill="auto"/>
            <w:noWrap/>
            <w:tcMar>
              <w:left w:w="40" w:type="dxa"/>
              <w:right w:w="40" w:type="dxa"/>
            </w:tcMar>
            <w:vAlign w:val="bottom"/>
          </w:tcPr>
          <w:p w14:paraId="393D93AC"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A570C6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884440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(2,853)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532B49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5547860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1,295</w:t>
            </w:r>
          </w:p>
        </w:tc>
      </w:tr>
      <w:tr w:rsidR="00B101BD" w14:paraId="45FEBE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1E2767C"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07E839DC"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30052FC" w14:textId="77777777" w:rsidR="00B101BD" w:rsidRDefault="00B101BD">
            <w:pPr>
              <w:spacing w:after="0" w:line="240" w:lineRule="auto"/>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6E7C71E0"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29809B" w14:textId="77777777" w:rsidR="00B101BD" w:rsidRDefault="00B101BD">
            <w:pPr>
              <w:spacing w:after="0" w:line="240" w:lineRule="auto"/>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E37993E" w14:textId="77777777" w:rsidR="00B101BD" w:rsidRDefault="00B101BD">
            <w:pPr>
              <w:spacing w:after="0" w:line="240" w:lineRule="auto"/>
              <w:rPr>
                <w:rFonts w:ascii="Calibri" w:eastAsia="Calibri" w:hAnsi="Calibri" w:cs="Calibri"/>
                <w:color w:val="000000"/>
                <w:sz w:val="20"/>
              </w:rPr>
            </w:pPr>
          </w:p>
        </w:tc>
      </w:tr>
      <w:tr w:rsidR="00B101BD" w14:paraId="0460F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955" w:type="dxa"/>
            <w:gridSpan w:val="2"/>
            <w:tcBorders>
              <w:top w:val="nil"/>
              <w:left w:val="nil"/>
              <w:bottom w:val="nil"/>
              <w:right w:val="nil"/>
              <w:tl2br w:val="nil"/>
              <w:tr2bl w:val="nil"/>
            </w:tcBorders>
            <w:shd w:val="clear" w:color="auto" w:fill="auto"/>
            <w:noWrap/>
            <w:tcMar>
              <w:left w:w="40" w:type="dxa"/>
              <w:right w:w="40" w:type="dxa"/>
            </w:tcMar>
            <w:vAlign w:val="bottom"/>
          </w:tcPr>
          <w:p w14:paraId="58E60D46"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Gain from repurchase of preferred shares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C981E22" w14:textId="77777777" w:rsidR="00B101BD" w:rsidRPr="00FF4909" w:rsidRDefault="00B101BD">
            <w:pPr>
              <w:spacing w:after="0" w:line="240" w:lineRule="auto"/>
              <w:jc w:val="right"/>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42C8C0D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A99C9D3" w14:textId="77777777" w:rsidR="00B101BD" w:rsidRDefault="00B101BD">
            <w:pPr>
              <w:spacing w:after="0" w:line="240" w:lineRule="auto"/>
              <w:jc w:val="right"/>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68E06A7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1,500</w:t>
            </w:r>
          </w:p>
        </w:tc>
      </w:tr>
      <w:tr w:rsidR="00B101BD" w14:paraId="03BE0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7E20A94"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55BC8B8F"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D42C4D7"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4586486B"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B950251"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2E86C846" w14:textId="77777777" w:rsidR="00B101BD" w:rsidRDefault="00B101BD">
            <w:pPr>
              <w:spacing w:after="0" w:line="240" w:lineRule="auto"/>
              <w:rPr>
                <w:rFonts w:ascii="Calibri" w:eastAsia="Calibri" w:hAnsi="Calibri" w:cs="Calibri"/>
                <w:color w:val="000000"/>
                <w:sz w:val="20"/>
              </w:rPr>
            </w:pPr>
          </w:p>
        </w:tc>
      </w:tr>
      <w:tr w:rsidR="00B101BD" w14:paraId="527187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2B138A72"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7B30DF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1B2B41F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(2,853)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58EE2B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359C90F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2,795</w:t>
            </w:r>
          </w:p>
        </w:tc>
      </w:tr>
      <w:tr w:rsidR="00B101BD" w14:paraId="466656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8692A4B"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258880CD"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C1EE20" w14:textId="77777777" w:rsidR="00B101BD" w:rsidRDefault="00B101BD">
            <w:pPr>
              <w:spacing w:after="0" w:line="240" w:lineRule="auto"/>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AD8F733"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090347F" w14:textId="77777777" w:rsidR="00B101BD" w:rsidRDefault="00B101BD">
            <w:pPr>
              <w:spacing w:after="0" w:line="240" w:lineRule="auto"/>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73AD0BB" w14:textId="77777777" w:rsidR="00B101BD" w:rsidRDefault="00B101BD">
            <w:pPr>
              <w:spacing w:after="0" w:line="240" w:lineRule="auto"/>
              <w:rPr>
                <w:rFonts w:ascii="Calibri" w:eastAsia="Calibri" w:hAnsi="Calibri" w:cs="Calibri"/>
                <w:color w:val="000000"/>
                <w:sz w:val="20"/>
              </w:rPr>
            </w:pPr>
          </w:p>
        </w:tc>
      </w:tr>
      <w:tr w:rsidR="00B101BD" w14:paraId="7CAE5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5F235B68"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Earnings / (Loss) per common share, basic *</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A769386"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6206675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(0.57)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AB7C236"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66A2554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0.60</w:t>
            </w:r>
          </w:p>
        </w:tc>
      </w:tr>
      <w:tr w:rsidR="00B101BD" w14:paraId="28849F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890DD1A" w14:textId="77777777" w:rsidR="00B101BD" w:rsidRDefault="00B101BD">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787F00F0" w14:textId="77777777" w:rsidR="00B101BD" w:rsidRDefault="00B101BD">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B53F6DE"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F3269E8" w14:textId="77777777" w:rsidR="00B101BD" w:rsidRDefault="00B101BD">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C15B927"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86CFF23" w14:textId="77777777" w:rsidR="00B101BD" w:rsidRDefault="00B101BD">
            <w:pPr>
              <w:spacing w:after="0" w:line="240" w:lineRule="auto"/>
              <w:jc w:val="right"/>
              <w:rPr>
                <w:rFonts w:ascii="Calibri" w:eastAsia="Calibri" w:hAnsi="Calibri" w:cs="Calibri"/>
                <w:color w:val="000000"/>
                <w:sz w:val="20"/>
              </w:rPr>
            </w:pPr>
          </w:p>
        </w:tc>
      </w:tr>
      <w:tr w:rsidR="00B101BD" w14:paraId="5AAC66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02F4781D"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Earnings / (Loss) per common share, diluted *</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7B099D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D09EA5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(0.57)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070602E"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4226844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0.58</w:t>
            </w:r>
          </w:p>
        </w:tc>
      </w:tr>
      <w:tr w:rsidR="00B101BD" w14:paraId="68C160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2DCF2F6" w14:textId="77777777" w:rsidR="00B101BD" w:rsidRDefault="00B101BD">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11618530" w14:textId="77777777" w:rsidR="00B101BD" w:rsidRDefault="00B101BD">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53F304B"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42C8D61" w14:textId="77777777" w:rsidR="00B101BD" w:rsidRDefault="00B101BD">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C389DCC"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30A99F7" w14:textId="77777777" w:rsidR="00B101BD" w:rsidRDefault="00B101BD">
            <w:pPr>
              <w:spacing w:after="0" w:line="240" w:lineRule="auto"/>
              <w:jc w:val="right"/>
              <w:rPr>
                <w:rFonts w:ascii="Calibri" w:eastAsia="Calibri" w:hAnsi="Calibri" w:cs="Calibri"/>
                <w:color w:val="000000"/>
                <w:sz w:val="20"/>
              </w:rPr>
            </w:pPr>
          </w:p>
        </w:tc>
      </w:tr>
      <w:tr w:rsidR="00B101BD" w14:paraId="2BB732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5D91FC86"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Weighted average number of common shares,  *</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4918A67" w14:textId="77777777" w:rsidR="00B101BD" w:rsidRPr="00FF4909" w:rsidRDefault="00B101BD">
            <w:pPr>
              <w:spacing w:after="0" w:line="240" w:lineRule="auto"/>
              <w:jc w:val="right"/>
              <w:rPr>
                <w:rFonts w:ascii="Calibri" w:eastAsia="Calibri" w:hAnsi="Calibri" w:cs="Calibri"/>
                <w:color w:val="000000"/>
                <w:sz w:val="20"/>
                <w:lang w:val="en-US"/>
              </w:rPr>
            </w:pP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1E77769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5,007,493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80CA11E" w14:textId="77777777" w:rsidR="00B101BD" w:rsidRDefault="00B101BD">
            <w:pPr>
              <w:spacing w:after="0" w:line="240" w:lineRule="auto"/>
              <w:jc w:val="right"/>
              <w:rPr>
                <w:rFonts w:ascii="Calibri" w:eastAsia="Calibri" w:hAnsi="Calibri" w:cs="Calibri"/>
                <w:color w:val="000000"/>
                <w:sz w:val="20"/>
              </w:rPr>
            </w:pP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78DF32F"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4,696,773</w:t>
            </w:r>
          </w:p>
        </w:tc>
      </w:tr>
      <w:tr w:rsidR="00B101BD" w14:paraId="32E76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E19764D" w14:textId="77777777" w:rsidR="00B101BD" w:rsidRDefault="00B101BD">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21DC2FFB" w14:textId="77777777" w:rsidR="00B101BD" w:rsidRDefault="00B101BD">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7297904"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D145736" w14:textId="77777777" w:rsidR="00B101BD" w:rsidRDefault="00B101BD">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627469"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C187FB0" w14:textId="77777777" w:rsidR="00B101BD" w:rsidRDefault="00B101BD">
            <w:pPr>
              <w:spacing w:after="0" w:line="240" w:lineRule="auto"/>
              <w:jc w:val="right"/>
              <w:rPr>
                <w:rFonts w:ascii="Calibri" w:eastAsia="Calibri" w:hAnsi="Calibri" w:cs="Calibri"/>
                <w:color w:val="000000"/>
                <w:sz w:val="20"/>
              </w:rPr>
            </w:pPr>
          </w:p>
        </w:tc>
      </w:tr>
      <w:tr w:rsidR="00B101BD" w14:paraId="19037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7393DF2E"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Weighted average number of common shares,  *</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AE5E6F1" w14:textId="77777777" w:rsidR="00B101BD" w:rsidRPr="00FF4909" w:rsidRDefault="00B101BD">
            <w:pPr>
              <w:spacing w:after="0" w:line="240" w:lineRule="auto"/>
              <w:jc w:val="right"/>
              <w:rPr>
                <w:rFonts w:ascii="Calibri" w:eastAsia="Calibri" w:hAnsi="Calibri" w:cs="Calibri"/>
                <w:color w:val="000000"/>
                <w:sz w:val="20"/>
                <w:lang w:val="en-US"/>
              </w:rPr>
            </w:pP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0D96F8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5,007,493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097C4C4" w14:textId="77777777" w:rsidR="00B101BD" w:rsidRDefault="00B101BD">
            <w:pPr>
              <w:spacing w:after="0" w:line="240" w:lineRule="auto"/>
              <w:jc w:val="right"/>
              <w:rPr>
                <w:rFonts w:ascii="Calibri" w:eastAsia="Calibri" w:hAnsi="Calibri" w:cs="Calibri"/>
                <w:color w:val="000000"/>
                <w:sz w:val="20"/>
              </w:rPr>
            </w:pPr>
          </w:p>
        </w:tc>
        <w:tc>
          <w:tcPr>
            <w:tcW w:w="2070"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964545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4,788,339</w:t>
            </w:r>
          </w:p>
        </w:tc>
      </w:tr>
      <w:tr w:rsidR="00B101BD" w14:paraId="584767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195" w:type="dxa"/>
            <w:tcBorders>
              <w:top w:val="nil"/>
              <w:left w:val="nil"/>
              <w:bottom w:val="nil"/>
              <w:right w:val="nil"/>
              <w:tl2br w:val="nil"/>
              <w:tr2bl w:val="nil"/>
            </w:tcBorders>
            <w:shd w:val="clear" w:color="auto" w:fill="auto"/>
            <w:tcMar>
              <w:left w:w="0" w:type="dxa"/>
              <w:right w:w="0" w:type="dxa"/>
            </w:tcMar>
            <w:vAlign w:val="bottom"/>
          </w:tcPr>
          <w:p w14:paraId="359FC998"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tcMar>
              <w:left w:w="0" w:type="dxa"/>
              <w:right w:w="0" w:type="dxa"/>
            </w:tcMar>
            <w:vAlign w:val="bottom"/>
          </w:tcPr>
          <w:p w14:paraId="4E0591E7" w14:textId="77777777" w:rsidR="00B101BD" w:rsidRDefault="00B101BD">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BB21E9" w14:textId="77777777" w:rsidR="00B101BD" w:rsidRDefault="00B101BD">
            <w:pPr>
              <w:spacing w:after="0" w:line="240" w:lineRule="auto"/>
              <w:jc w:val="right"/>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410BD11" w14:textId="77777777" w:rsidR="00B101BD" w:rsidRDefault="00B101BD">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131EB59" w14:textId="77777777" w:rsidR="00B101BD" w:rsidRDefault="00B101BD">
            <w:pPr>
              <w:spacing w:after="0" w:line="240" w:lineRule="auto"/>
              <w:jc w:val="right"/>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31E9BAF" w14:textId="77777777" w:rsidR="00B101BD" w:rsidRDefault="00B101BD">
            <w:pPr>
              <w:spacing w:after="0" w:line="240" w:lineRule="auto"/>
              <w:jc w:val="right"/>
              <w:rPr>
                <w:rFonts w:ascii="Calibri" w:eastAsia="Calibri" w:hAnsi="Calibri" w:cs="Calibri"/>
                <w:color w:val="000000"/>
                <w:sz w:val="20"/>
              </w:rPr>
            </w:pPr>
          </w:p>
        </w:tc>
      </w:tr>
      <w:tr w:rsidR="00B101BD" w:rsidRPr="00EF096F" w14:paraId="0DACB9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0455" w:type="dxa"/>
            <w:gridSpan w:val="6"/>
            <w:tcBorders>
              <w:top w:val="nil"/>
              <w:left w:val="nil"/>
              <w:bottom w:val="nil"/>
              <w:right w:val="nil"/>
              <w:tl2br w:val="nil"/>
              <w:tr2bl w:val="nil"/>
            </w:tcBorders>
            <w:shd w:val="clear" w:color="auto" w:fill="auto"/>
            <w:tcMar>
              <w:left w:w="40" w:type="dxa"/>
              <w:right w:w="40" w:type="dxa"/>
            </w:tcMar>
            <w:vAlign w:val="bottom"/>
          </w:tcPr>
          <w:p w14:paraId="46498629" w14:textId="77777777" w:rsidR="00B101BD" w:rsidRPr="00FF4909" w:rsidRDefault="00885344">
            <w:pPr>
              <w:spacing w:after="0" w:line="240" w:lineRule="auto"/>
              <w:rPr>
                <w:rFonts w:ascii="Calibri" w:eastAsia="Calibri" w:hAnsi="Calibri" w:cs="Calibri"/>
                <w:color w:val="000000"/>
                <w:sz w:val="18"/>
                <w:lang w:val="en-US"/>
              </w:rPr>
            </w:pPr>
            <w:r w:rsidRPr="00FF4909">
              <w:rPr>
                <w:rFonts w:ascii="Calibri" w:eastAsia="Calibri" w:hAnsi="Calibri" w:cs="Calibri"/>
                <w:color w:val="000000"/>
                <w:sz w:val="18"/>
                <w:lang w:val="en-US"/>
              </w:rPr>
              <w:t>* Comparative figures were adjusted to give effect to the reverse stock split that became effective on November 2, 2020.</w:t>
            </w:r>
          </w:p>
        </w:tc>
      </w:tr>
      <w:tr w:rsidR="00B101BD" w:rsidRPr="00EF096F" w14:paraId="78687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10455" w:type="dxa"/>
            <w:gridSpan w:val="6"/>
            <w:tcBorders>
              <w:top w:val="nil"/>
              <w:left w:val="nil"/>
              <w:bottom w:val="nil"/>
              <w:right w:val="nil"/>
              <w:tl2br w:val="nil"/>
              <w:tr2bl w:val="nil"/>
            </w:tcBorders>
            <w:shd w:val="clear" w:color="auto" w:fill="auto"/>
            <w:noWrap/>
            <w:tcMar>
              <w:left w:w="40" w:type="dxa"/>
              <w:right w:w="40" w:type="dxa"/>
            </w:tcMar>
            <w:vAlign w:val="bottom"/>
          </w:tcPr>
          <w:p w14:paraId="364E643E" w14:textId="77777777" w:rsidR="00B101BD" w:rsidRPr="00FF4909" w:rsidRDefault="00885344">
            <w:pPr>
              <w:spacing w:after="0" w:line="240" w:lineRule="auto"/>
              <w:jc w:val="center"/>
              <w:rPr>
                <w:rFonts w:ascii="Calibri" w:eastAsia="Calibri" w:hAnsi="Calibri" w:cs="Calibri"/>
                <w:b/>
                <w:color w:val="000000"/>
                <w:sz w:val="20"/>
                <w:lang w:val="en-US"/>
              </w:rPr>
            </w:pPr>
            <w:r w:rsidRPr="00FF4909">
              <w:rPr>
                <w:rFonts w:ascii="Calibri" w:eastAsia="Calibri" w:hAnsi="Calibri" w:cs="Calibri"/>
                <w:b/>
                <w:color w:val="000000"/>
                <w:sz w:val="20"/>
                <w:lang w:val="en-US"/>
              </w:rPr>
              <w:t>UNAUDITED INTERIM CONSOLIDATED STATEMENTS OF COMPREHENSIVE INCOME / (LOSS)</w:t>
            </w:r>
          </w:p>
        </w:tc>
      </w:tr>
      <w:tr w:rsidR="00B101BD" w:rsidRPr="00EF096F" w14:paraId="2D96E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A881D56"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32DA4E2D"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BF5D755"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2152C08E"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EB1D7FB"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2070" w:type="dxa"/>
            <w:tcBorders>
              <w:top w:val="nil"/>
              <w:left w:val="nil"/>
              <w:bottom w:val="nil"/>
              <w:right w:val="nil"/>
              <w:tl2br w:val="nil"/>
              <w:tr2bl w:val="nil"/>
            </w:tcBorders>
            <w:shd w:val="clear" w:color="auto" w:fill="auto"/>
            <w:noWrap/>
            <w:tcMar>
              <w:left w:w="0" w:type="dxa"/>
              <w:right w:w="0" w:type="dxa"/>
            </w:tcMar>
            <w:vAlign w:val="bottom"/>
          </w:tcPr>
          <w:p w14:paraId="07B7B491" w14:textId="77777777" w:rsidR="00B101BD" w:rsidRPr="00FF4909" w:rsidRDefault="00B101BD">
            <w:pPr>
              <w:spacing w:after="0" w:line="240" w:lineRule="auto"/>
              <w:jc w:val="center"/>
              <w:rPr>
                <w:rFonts w:ascii="Calibri" w:eastAsia="Calibri" w:hAnsi="Calibri" w:cs="Calibri"/>
                <w:b/>
                <w:color w:val="000000"/>
                <w:sz w:val="20"/>
                <w:lang w:val="en-US"/>
              </w:rPr>
            </w:pPr>
          </w:p>
        </w:tc>
      </w:tr>
      <w:tr w:rsidR="00B101BD" w:rsidRPr="00EF096F" w14:paraId="5CE13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10B512F"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7A363330"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C56C4B5"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4320" w:type="dxa"/>
            <w:gridSpan w:val="3"/>
            <w:tcBorders>
              <w:top w:val="nil"/>
              <w:left w:val="nil"/>
              <w:bottom w:val="nil"/>
              <w:right w:val="nil"/>
              <w:tl2br w:val="nil"/>
              <w:tr2bl w:val="nil"/>
            </w:tcBorders>
            <w:shd w:val="clear" w:color="auto" w:fill="auto"/>
            <w:tcMar>
              <w:left w:w="40" w:type="dxa"/>
              <w:right w:w="40" w:type="dxa"/>
            </w:tcMar>
            <w:vAlign w:val="bottom"/>
          </w:tcPr>
          <w:p w14:paraId="77C5086D" w14:textId="77777777" w:rsidR="00B101BD" w:rsidRPr="00FF4909" w:rsidRDefault="00885344">
            <w:pPr>
              <w:spacing w:after="0" w:line="240" w:lineRule="auto"/>
              <w:jc w:val="center"/>
              <w:rPr>
                <w:rFonts w:ascii="Calibri" w:eastAsia="Calibri" w:hAnsi="Calibri" w:cs="Calibri"/>
                <w:b/>
                <w:color w:val="000000"/>
                <w:sz w:val="18"/>
                <w:lang w:val="en-US"/>
              </w:rPr>
            </w:pPr>
            <w:r w:rsidRPr="00FF4909">
              <w:rPr>
                <w:rFonts w:ascii="Calibri" w:eastAsia="Calibri" w:hAnsi="Calibri" w:cs="Calibri"/>
                <w:b/>
                <w:color w:val="000000"/>
                <w:sz w:val="18"/>
                <w:lang w:val="en-US"/>
              </w:rPr>
              <w:t>For the three months ended March 31,</w:t>
            </w:r>
          </w:p>
        </w:tc>
      </w:tr>
      <w:tr w:rsidR="00B101BD" w14:paraId="2540C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6496799" w14:textId="77777777" w:rsidR="00B101BD" w:rsidRPr="00FF4909" w:rsidRDefault="00B101BD">
            <w:pPr>
              <w:spacing w:after="0" w:line="240" w:lineRule="auto"/>
              <w:rPr>
                <w:rFonts w:ascii="Calibri" w:eastAsia="Calibri" w:hAnsi="Calibri" w:cs="Calibri"/>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09183ABE" w14:textId="77777777" w:rsidR="00B101BD" w:rsidRPr="00FF4909" w:rsidRDefault="00B101BD">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1923C8E" w14:textId="77777777" w:rsidR="00B101BD" w:rsidRPr="00FF4909" w:rsidRDefault="00B101BD">
            <w:pPr>
              <w:spacing w:after="0" w:line="240" w:lineRule="auto"/>
              <w:rPr>
                <w:rFonts w:ascii="Calibri" w:eastAsia="Calibri" w:hAnsi="Calibri" w:cs="Calibri"/>
                <w:color w:val="000000"/>
                <w:sz w:val="20"/>
                <w:lang w:val="en-US"/>
              </w:rPr>
            </w:pPr>
          </w:p>
        </w:tc>
        <w:tc>
          <w:tcPr>
            <w:tcW w:w="20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229C988"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8255E37" w14:textId="77777777" w:rsidR="00B101BD" w:rsidRDefault="00B101BD">
            <w:pPr>
              <w:spacing w:after="0" w:line="240" w:lineRule="auto"/>
              <w:jc w:val="center"/>
              <w:rPr>
                <w:rFonts w:ascii="Calibri" w:eastAsia="Calibri" w:hAnsi="Calibri" w:cs="Calibri"/>
                <w:b/>
                <w:color w:val="000000"/>
                <w:sz w:val="18"/>
              </w:rPr>
            </w:pPr>
          </w:p>
        </w:tc>
        <w:tc>
          <w:tcPr>
            <w:tcW w:w="20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C9C5A4B"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r>
      <w:tr w:rsidR="00B101BD" w14:paraId="516D9D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05B2F14"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0529F7A6"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60E4591" w14:textId="77777777" w:rsidR="00B101BD" w:rsidRDefault="00B101BD">
            <w:pPr>
              <w:spacing w:after="0" w:line="240" w:lineRule="auto"/>
              <w:rPr>
                <w:rFonts w:ascii="Calibri" w:eastAsia="Calibri" w:hAnsi="Calibri" w:cs="Calibri"/>
                <w:color w:val="000000"/>
                <w:sz w:val="20"/>
              </w:rPr>
            </w:pPr>
          </w:p>
        </w:tc>
        <w:tc>
          <w:tcPr>
            <w:tcW w:w="20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8F903C" w14:textId="77777777" w:rsidR="00B101BD" w:rsidRDefault="00B101BD">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A9D2F5B" w14:textId="77777777" w:rsidR="00B101BD" w:rsidRDefault="00B101BD">
            <w:pPr>
              <w:spacing w:after="0" w:line="240" w:lineRule="auto"/>
              <w:jc w:val="center"/>
              <w:rPr>
                <w:rFonts w:ascii="Calibri" w:eastAsia="Calibri" w:hAnsi="Calibri" w:cs="Calibri"/>
                <w:color w:val="000000"/>
                <w:sz w:val="18"/>
              </w:rPr>
            </w:pPr>
          </w:p>
        </w:tc>
        <w:tc>
          <w:tcPr>
            <w:tcW w:w="20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2E7C91" w14:textId="77777777" w:rsidR="00B101BD" w:rsidRDefault="00B101BD">
            <w:pPr>
              <w:spacing w:after="0" w:line="240" w:lineRule="auto"/>
              <w:jc w:val="center"/>
              <w:rPr>
                <w:rFonts w:ascii="Calibri" w:eastAsia="Calibri" w:hAnsi="Calibri" w:cs="Calibri"/>
                <w:color w:val="000000"/>
                <w:sz w:val="18"/>
              </w:rPr>
            </w:pPr>
          </w:p>
        </w:tc>
      </w:tr>
      <w:tr w:rsidR="00B101BD" w14:paraId="0CF64F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955" w:type="dxa"/>
            <w:gridSpan w:val="2"/>
            <w:tcBorders>
              <w:top w:val="nil"/>
              <w:left w:val="nil"/>
              <w:bottom w:val="nil"/>
              <w:right w:val="nil"/>
              <w:tl2br w:val="nil"/>
              <w:tr2bl w:val="nil"/>
            </w:tcBorders>
            <w:shd w:val="clear" w:color="auto" w:fill="auto"/>
            <w:noWrap/>
            <w:tcMar>
              <w:left w:w="40" w:type="dxa"/>
              <w:right w:w="40" w:type="dxa"/>
            </w:tcMar>
            <w:vAlign w:val="bottom"/>
          </w:tcPr>
          <w:p w14:paraId="75439EAA"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E2AE6C7"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40" w:type="dxa"/>
            </w:tcMar>
            <w:vAlign w:val="bottom"/>
          </w:tcPr>
          <w:p w14:paraId="0EE4466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(2,853)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66E66D0"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346B21A4"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1,295</w:t>
            </w:r>
          </w:p>
        </w:tc>
      </w:tr>
      <w:tr w:rsidR="00B101BD" w14:paraId="0A826D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0556AF8"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47F59B23"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44D6EE6"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9A43796"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BF53AA7" w14:textId="77777777" w:rsidR="00B101BD" w:rsidRDefault="00B101BD">
            <w:pPr>
              <w:spacing w:after="0" w:line="240" w:lineRule="auto"/>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19D7E53F" w14:textId="77777777" w:rsidR="00B101BD" w:rsidRDefault="00B101BD">
            <w:pPr>
              <w:spacing w:after="0" w:line="240" w:lineRule="auto"/>
              <w:rPr>
                <w:rFonts w:ascii="Calibri" w:eastAsia="Calibri" w:hAnsi="Calibri" w:cs="Calibri"/>
                <w:color w:val="000000"/>
                <w:sz w:val="20"/>
              </w:rPr>
            </w:pPr>
          </w:p>
        </w:tc>
      </w:tr>
      <w:tr w:rsidR="00B101BD" w14:paraId="49A6A0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5955" w:type="dxa"/>
            <w:gridSpan w:val="2"/>
            <w:tcBorders>
              <w:top w:val="nil"/>
              <w:left w:val="nil"/>
              <w:bottom w:val="nil"/>
              <w:right w:val="nil"/>
              <w:tl2br w:val="nil"/>
              <w:tr2bl w:val="nil"/>
            </w:tcBorders>
            <w:shd w:val="clear" w:color="auto" w:fill="auto"/>
            <w:noWrap/>
            <w:tcMar>
              <w:left w:w="40" w:type="dxa"/>
              <w:right w:w="40" w:type="dxa"/>
            </w:tcMar>
            <w:vAlign w:val="bottom"/>
          </w:tcPr>
          <w:p w14:paraId="48BAB84C"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Comprehensive income/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E3D1440"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14:paraId="483EB08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(2,853)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806ACEB"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noWrap/>
            <w:tcMar>
              <w:left w:w="40" w:type="dxa"/>
              <w:right w:w="100" w:type="dxa"/>
            </w:tcMar>
            <w:vAlign w:val="bottom"/>
          </w:tcPr>
          <w:p w14:paraId="23247B9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1,295</w:t>
            </w:r>
          </w:p>
        </w:tc>
      </w:tr>
      <w:tr w:rsidR="00B101BD" w14:paraId="23B1F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186F15F8" w14:textId="77777777" w:rsidR="00B101BD" w:rsidRDefault="00B101BD">
            <w:pPr>
              <w:spacing w:after="0" w:line="240" w:lineRule="auto"/>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tcMar>
              <w:left w:w="0" w:type="dxa"/>
              <w:right w:w="0" w:type="dxa"/>
            </w:tcMar>
            <w:vAlign w:val="bottom"/>
          </w:tcPr>
          <w:p w14:paraId="78AA8E00" w14:textId="77777777" w:rsidR="00B101BD" w:rsidRDefault="00B101BD">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2169E12"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8BAECFB" w14:textId="77777777" w:rsidR="00B101BD" w:rsidRDefault="00B101BD">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6224E39"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D1FB00E" w14:textId="77777777" w:rsidR="00B101BD" w:rsidRDefault="00B101BD">
            <w:pPr>
              <w:spacing w:after="0" w:line="240" w:lineRule="auto"/>
              <w:jc w:val="right"/>
              <w:rPr>
                <w:rFonts w:ascii="Calibri" w:eastAsia="Calibri" w:hAnsi="Calibri" w:cs="Calibri"/>
                <w:color w:val="000000"/>
                <w:sz w:val="20"/>
              </w:rPr>
            </w:pPr>
          </w:p>
        </w:tc>
      </w:tr>
    </w:tbl>
    <w:tbl>
      <w:tblPr>
        <w:tblStyle w:val="CDMRange2"/>
        <w:tblW w:w="10455" w:type="dxa"/>
        <w:tblLayout w:type="fixed"/>
        <w:tblLook w:val="0600" w:firstRow="0" w:lastRow="0" w:firstColumn="0" w:lastColumn="0" w:noHBand="1" w:noVBand="1"/>
      </w:tblPr>
      <w:tblGrid>
        <w:gridCol w:w="195"/>
        <w:gridCol w:w="5760"/>
        <w:gridCol w:w="180"/>
        <w:gridCol w:w="2070"/>
        <w:gridCol w:w="180"/>
        <w:gridCol w:w="2070"/>
      </w:tblGrid>
      <w:tr w:rsidR="00B101BD" w:rsidRPr="00EF096F" w14:paraId="1FF5E1CA" w14:textId="77777777">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14:paraId="7C697819" w14:textId="77777777" w:rsidR="00B101BD" w:rsidRPr="00FF4909" w:rsidRDefault="00885344">
            <w:pPr>
              <w:pageBreakBefore/>
              <w:spacing w:after="0" w:line="240" w:lineRule="auto"/>
              <w:jc w:val="both"/>
              <w:rPr>
                <w:rFonts w:ascii="Calibri" w:eastAsia="Calibri" w:hAnsi="Calibri" w:cs="Calibri"/>
                <w:b/>
                <w:color w:val="000000"/>
                <w:sz w:val="20"/>
                <w:lang w:val="en-US"/>
              </w:rPr>
            </w:pPr>
            <w:r w:rsidRPr="00FF4909">
              <w:rPr>
                <w:rFonts w:ascii="Calibri" w:eastAsia="Calibri" w:hAnsi="Calibri" w:cs="Calibri"/>
                <w:b/>
                <w:color w:val="000000"/>
                <w:sz w:val="20"/>
                <w:lang w:val="en-US"/>
              </w:rPr>
              <w:lastRenderedPageBreak/>
              <w:t>CONDENSED CONSOLIDATED BALANCE SHEET DATA</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53163F2" w14:textId="77777777" w:rsidR="00B101BD" w:rsidRPr="00FF4909" w:rsidRDefault="00B101BD">
            <w:pPr>
              <w:spacing w:after="0" w:line="240" w:lineRule="auto"/>
              <w:jc w:val="both"/>
              <w:rPr>
                <w:rFonts w:ascii="Calibri" w:eastAsia="Calibri" w:hAnsi="Calibri" w:cs="Calibri"/>
                <w:b/>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02D42757" w14:textId="77777777" w:rsidR="00B101BD" w:rsidRPr="00FF4909" w:rsidRDefault="00B101BD">
            <w:pPr>
              <w:spacing w:after="0" w:line="240" w:lineRule="auto"/>
              <w:jc w:val="both"/>
              <w:rPr>
                <w:rFonts w:ascii="Calibri" w:eastAsia="Calibri" w:hAnsi="Calibri" w:cs="Calibri"/>
                <w:b/>
                <w:color w:val="000000"/>
                <w:sz w:val="20"/>
                <w:lang w:val="en-US"/>
              </w:rPr>
            </w:pPr>
          </w:p>
        </w:tc>
      </w:tr>
      <w:tr w:rsidR="00B101BD" w:rsidRPr="00EF096F" w14:paraId="3F418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14:paraId="36E3CA2B"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(Expressed in thousands of US Dollars)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BCF9E8C" w14:textId="77777777" w:rsidR="00B101BD" w:rsidRPr="00FF4909" w:rsidRDefault="00B101BD">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47025346" w14:textId="77777777" w:rsidR="00B101BD" w:rsidRPr="00FF4909" w:rsidRDefault="00B101BD">
            <w:pPr>
              <w:spacing w:after="0" w:line="240" w:lineRule="auto"/>
              <w:rPr>
                <w:rFonts w:ascii="Calibri" w:eastAsia="Calibri" w:hAnsi="Calibri" w:cs="Calibri"/>
                <w:color w:val="000000"/>
                <w:sz w:val="20"/>
                <w:lang w:val="en-US"/>
              </w:rPr>
            </w:pPr>
          </w:p>
        </w:tc>
      </w:tr>
      <w:tr w:rsidR="00B101BD" w14:paraId="35CCDE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50AF768E"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7663FB9A" w14:textId="77777777" w:rsidR="00B101BD" w:rsidRPr="00FF4909" w:rsidRDefault="00B101BD">
            <w:pPr>
              <w:spacing w:after="0" w:line="240" w:lineRule="auto"/>
              <w:jc w:val="center"/>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4B830DD" w14:textId="77777777" w:rsidR="00B101BD" w:rsidRPr="00FF4909" w:rsidRDefault="00B101BD">
            <w:pPr>
              <w:spacing w:after="0" w:line="240" w:lineRule="auto"/>
              <w:jc w:val="center"/>
              <w:rPr>
                <w:rFonts w:ascii="Calibri" w:eastAsia="Calibri" w:hAnsi="Calibri" w:cs="Calibri"/>
                <w:color w:val="000000"/>
                <w:sz w:val="20"/>
                <w:lang w:val="en-US"/>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59377A1B"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March 31, 2021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0544655" w14:textId="77777777" w:rsidR="00B101BD" w:rsidRDefault="00B101BD">
            <w:pPr>
              <w:spacing w:after="0" w:line="240" w:lineRule="auto"/>
              <w:jc w:val="center"/>
              <w:rPr>
                <w:rFonts w:ascii="Calibri" w:eastAsia="Calibri" w:hAnsi="Calibri" w:cs="Calibri"/>
                <w:color w:val="000000"/>
                <w:sz w:val="18"/>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7C1B13A0"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December 31, 2020**</w:t>
            </w:r>
          </w:p>
        </w:tc>
      </w:tr>
      <w:tr w:rsidR="00B101BD" w14:paraId="42787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0F8B69AA" w14:textId="77777777" w:rsidR="00B101BD" w:rsidRDefault="00885344">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ASSETS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2614B6A" w14:textId="77777777" w:rsidR="00B101BD" w:rsidRDefault="00B101BD">
            <w:pPr>
              <w:spacing w:after="0" w:line="240" w:lineRule="auto"/>
              <w:jc w:val="center"/>
              <w:rPr>
                <w:rFonts w:ascii="Calibri" w:eastAsia="Calibri" w:hAnsi="Calibri" w:cs="Calibri"/>
                <w:b/>
                <w:color w:val="000000"/>
                <w:sz w:val="20"/>
                <w:u w:val="single"/>
              </w:rPr>
            </w:pPr>
          </w:p>
        </w:tc>
        <w:tc>
          <w:tcPr>
            <w:tcW w:w="2070" w:type="dxa"/>
            <w:tcBorders>
              <w:top w:val="single" w:sz="4" w:space="0" w:color="000000"/>
              <w:left w:val="nil"/>
              <w:bottom w:val="nil"/>
              <w:right w:val="nil"/>
              <w:tl2br w:val="nil"/>
              <w:tr2bl w:val="nil"/>
            </w:tcBorders>
            <w:shd w:val="clear" w:color="auto" w:fill="auto"/>
            <w:tcMar>
              <w:left w:w="40" w:type="dxa"/>
              <w:right w:w="40" w:type="dxa"/>
            </w:tcMar>
            <w:vAlign w:val="bottom"/>
          </w:tcPr>
          <w:p w14:paraId="1997053D"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1B0C602" w14:textId="77777777" w:rsidR="00B101BD" w:rsidRDefault="00B101BD">
            <w:pPr>
              <w:spacing w:after="0" w:line="240" w:lineRule="auto"/>
              <w:jc w:val="center"/>
              <w:rPr>
                <w:rFonts w:ascii="Calibri" w:eastAsia="Calibri" w:hAnsi="Calibri" w:cs="Calibri"/>
                <w:b/>
                <w:color w:val="000000"/>
                <w:sz w:val="18"/>
                <w:u w:val="single"/>
              </w:rPr>
            </w:pPr>
          </w:p>
        </w:tc>
        <w:tc>
          <w:tcPr>
            <w:tcW w:w="2070" w:type="dxa"/>
            <w:tcBorders>
              <w:top w:val="single" w:sz="4" w:space="0" w:color="000000"/>
              <w:left w:val="nil"/>
              <w:bottom w:val="nil"/>
              <w:right w:val="nil"/>
              <w:tl2br w:val="nil"/>
              <w:tr2bl w:val="nil"/>
            </w:tcBorders>
            <w:shd w:val="clear" w:color="auto" w:fill="auto"/>
            <w:tcMar>
              <w:left w:w="0" w:type="dxa"/>
              <w:right w:w="0" w:type="dxa"/>
            </w:tcMar>
            <w:vAlign w:val="bottom"/>
          </w:tcPr>
          <w:p w14:paraId="05A91432" w14:textId="77777777" w:rsidR="00B101BD" w:rsidRDefault="00B101BD">
            <w:pPr>
              <w:spacing w:after="0" w:line="240" w:lineRule="auto"/>
              <w:jc w:val="center"/>
              <w:rPr>
                <w:rFonts w:ascii="Calibri" w:eastAsia="Calibri" w:hAnsi="Calibri" w:cs="Calibri"/>
                <w:color w:val="000000"/>
                <w:sz w:val="18"/>
              </w:rPr>
            </w:pPr>
          </w:p>
        </w:tc>
      </w:tr>
      <w:tr w:rsidR="00B101BD" w14:paraId="62538E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2193AE45" w14:textId="77777777" w:rsidR="00B101BD" w:rsidRDefault="00B101BD">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3991596B" w14:textId="77777777" w:rsidR="00B101BD" w:rsidRDefault="00B101BD">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8203B3C"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278D2CB6" w14:textId="77777777" w:rsidR="00B101BD" w:rsidRDefault="00B101BD">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DF919A2"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08593BB0" w14:textId="77777777" w:rsidR="00B101BD" w:rsidRDefault="00B101BD">
            <w:pPr>
              <w:spacing w:after="0" w:line="240" w:lineRule="auto"/>
              <w:jc w:val="both"/>
              <w:rPr>
                <w:rFonts w:ascii="Calibri" w:eastAsia="Calibri" w:hAnsi="Calibri" w:cs="Calibri"/>
                <w:b/>
                <w:color w:val="000000"/>
                <w:sz w:val="20"/>
              </w:rPr>
            </w:pPr>
          </w:p>
        </w:tc>
      </w:tr>
      <w:tr w:rsidR="00B101BD" w14:paraId="324DF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3A9658F9" w14:textId="77777777" w:rsidR="00B101BD" w:rsidRDefault="00885344">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Cash and cash equivalents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4E00A2C"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11F2F8E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17,764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14465C1"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280065C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21,378</w:t>
            </w:r>
          </w:p>
        </w:tc>
      </w:tr>
      <w:tr w:rsidR="00B101BD" w14:paraId="36685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75135D7D" w14:textId="77777777" w:rsidR="00B101BD" w:rsidRDefault="00885344">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Vessels, net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2F66FF0"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4330F07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126,320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7864B31"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05FF839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128,108</w:t>
            </w:r>
          </w:p>
        </w:tc>
      </w:tr>
      <w:tr w:rsidR="00B101BD" w14:paraId="7024E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5B7FB7FA" w14:textId="77777777" w:rsidR="00B101BD" w:rsidRDefault="00885344">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fixed assets, net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DC1D21A"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1FA618F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1,110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217CC2A"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26002F5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1,135</w:t>
            </w:r>
          </w:p>
        </w:tc>
      </w:tr>
      <w:tr w:rsidR="00B101BD" w14:paraId="1C0924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538E166A" w14:textId="77777777" w:rsidR="00B101BD" w:rsidRDefault="00885344">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assets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CFEC909"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257320A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10,800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CB8A452"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6284CF14"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7,233</w:t>
            </w:r>
          </w:p>
        </w:tc>
      </w:tr>
      <w:tr w:rsidR="00B101BD" w14:paraId="6C4679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25D10F10" w14:textId="77777777" w:rsidR="00B101BD" w:rsidRDefault="00B101BD">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603BA935" w14:textId="77777777" w:rsidR="00B101BD" w:rsidRDefault="00885344">
            <w:pPr>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Total assets </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BD752A2"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3E89FEC6"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155,994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EFFB763"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432B396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157,854</w:t>
            </w:r>
          </w:p>
        </w:tc>
      </w:tr>
      <w:tr w:rsidR="00B101BD" w14:paraId="68F5F4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66A7E74B" w14:textId="77777777" w:rsidR="00B101BD" w:rsidRDefault="00B101BD">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5261192A" w14:textId="77777777" w:rsidR="00B101BD" w:rsidRDefault="00B101BD">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20F2FD4"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4BAAD479" w14:textId="77777777" w:rsidR="00B101BD" w:rsidRDefault="00B101BD">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3A5F48E"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40A3DA2E" w14:textId="77777777" w:rsidR="00B101BD" w:rsidRDefault="00B101BD">
            <w:pPr>
              <w:spacing w:after="0" w:line="240" w:lineRule="auto"/>
              <w:jc w:val="both"/>
              <w:rPr>
                <w:rFonts w:ascii="Calibri" w:eastAsia="Calibri" w:hAnsi="Calibri" w:cs="Calibri"/>
                <w:color w:val="000000"/>
                <w:sz w:val="20"/>
              </w:rPr>
            </w:pPr>
          </w:p>
        </w:tc>
      </w:tr>
      <w:tr w:rsidR="00B101BD" w14:paraId="14C21E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3EAF9C2C" w14:textId="77777777" w:rsidR="00B101BD" w:rsidRDefault="00885344">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LIABILITIES AND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20706E5"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12A060E7" w14:textId="77777777" w:rsidR="00B101BD" w:rsidRDefault="00B101BD">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2DB22C00"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274ECAAD" w14:textId="77777777" w:rsidR="00B101BD" w:rsidRDefault="00B101BD">
            <w:pPr>
              <w:spacing w:after="0" w:line="240" w:lineRule="auto"/>
              <w:jc w:val="both"/>
              <w:rPr>
                <w:rFonts w:ascii="Calibri" w:eastAsia="Calibri" w:hAnsi="Calibri" w:cs="Calibri"/>
                <w:color w:val="000000"/>
                <w:sz w:val="20"/>
              </w:rPr>
            </w:pPr>
          </w:p>
        </w:tc>
      </w:tr>
      <w:tr w:rsidR="00B101BD" w14:paraId="645DA0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76078BF8" w14:textId="77777777" w:rsidR="00B101BD" w:rsidRDefault="00B101BD">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1A91B297" w14:textId="77777777" w:rsidR="00B101BD" w:rsidRDefault="00B101BD">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27D0A51"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7201BFDB" w14:textId="77777777" w:rsidR="00B101BD" w:rsidRDefault="00B101BD">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82A2D1E" w14:textId="77777777" w:rsidR="00B101BD" w:rsidRDefault="00B101BD">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1511BBC8" w14:textId="77777777" w:rsidR="00B101BD" w:rsidRDefault="00B101BD">
            <w:pPr>
              <w:spacing w:after="0" w:line="240" w:lineRule="auto"/>
              <w:jc w:val="both"/>
              <w:rPr>
                <w:rFonts w:ascii="Calibri" w:eastAsia="Calibri" w:hAnsi="Calibri" w:cs="Calibri"/>
                <w:color w:val="000000"/>
                <w:sz w:val="20"/>
              </w:rPr>
            </w:pPr>
          </w:p>
        </w:tc>
      </w:tr>
      <w:tr w:rsidR="00B101BD" w14:paraId="7E8A39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76D0109D" w14:textId="77777777" w:rsidR="00B101BD" w:rsidRPr="00FF4909" w:rsidRDefault="00885344">
            <w:pPr>
              <w:spacing w:after="0" w:line="240" w:lineRule="auto"/>
              <w:jc w:val="both"/>
              <w:rPr>
                <w:rFonts w:ascii="Calibri" w:eastAsia="Calibri" w:hAnsi="Calibri" w:cs="Calibri"/>
                <w:color w:val="000000"/>
                <w:sz w:val="20"/>
                <w:lang w:val="en-US"/>
              </w:rPr>
            </w:pPr>
            <w:r w:rsidRPr="00FF4909">
              <w:rPr>
                <w:rFonts w:ascii="Calibri" w:eastAsia="Calibri" w:hAnsi="Calibri" w:cs="Calibri"/>
                <w:color w:val="000000"/>
                <w:sz w:val="20"/>
                <w:lang w:val="en-US"/>
              </w:rPr>
              <w:t xml:space="preserve"> Long-term debt, net of unamortized deferred financing costs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271A5777"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389A309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55,725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E47122F"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57915C2E"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57,666</w:t>
            </w:r>
          </w:p>
        </w:tc>
      </w:tr>
      <w:tr w:rsidR="00B101BD" w14:paraId="126D55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17B9FBF0" w14:textId="77777777" w:rsidR="00B101BD" w:rsidRDefault="00885344">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liabilities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502E38E"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6AE08F5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6,245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3E88EEB"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4BBFA6C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3,391</w:t>
            </w:r>
          </w:p>
        </w:tc>
      </w:tr>
      <w:tr w:rsidR="00B101BD" w14:paraId="33E481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076538EF" w14:textId="77777777" w:rsidR="00B101BD" w:rsidRDefault="00885344">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Total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145CE70"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7E0D7F9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94,024</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6E3D88E"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4DF7BB9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96,797</w:t>
            </w:r>
          </w:p>
        </w:tc>
      </w:tr>
      <w:tr w:rsidR="00B101BD" w14:paraId="4F948D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60411A99" w14:textId="77777777" w:rsidR="00B101BD" w:rsidRDefault="00B101BD">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3CA63F31" w14:textId="77777777" w:rsidR="00B101BD" w:rsidRPr="00FF4909" w:rsidRDefault="00885344">
            <w:pPr>
              <w:spacing w:after="0" w:line="240" w:lineRule="auto"/>
              <w:jc w:val="both"/>
              <w:rPr>
                <w:rFonts w:ascii="Calibri" w:eastAsia="Calibri" w:hAnsi="Calibri" w:cs="Calibri"/>
                <w:b/>
                <w:color w:val="000000"/>
                <w:sz w:val="20"/>
                <w:lang w:val="en-US"/>
              </w:rPr>
            </w:pPr>
            <w:r w:rsidRPr="00FF4909">
              <w:rPr>
                <w:rFonts w:ascii="Calibri" w:eastAsia="Calibri" w:hAnsi="Calibri" w:cs="Calibri"/>
                <w:b/>
                <w:color w:val="000000"/>
                <w:sz w:val="20"/>
                <w:lang w:val="en-US"/>
              </w:rPr>
              <w:t xml:space="preserve">Total liabilities and stockholders' equity </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0D30BF3"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4B7E384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155,994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440DA53" w14:textId="77777777" w:rsidR="00B101BD" w:rsidRDefault="00885344">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07046B4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157,854</w:t>
            </w:r>
          </w:p>
        </w:tc>
      </w:tr>
      <w:tr w:rsidR="00B101BD" w14:paraId="44DCE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11102FB0" w14:textId="77777777" w:rsidR="00B101BD" w:rsidRDefault="00B101BD">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35023A58" w14:textId="77777777" w:rsidR="00B101BD" w:rsidRDefault="00B101BD">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31851FC8"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5B20FF04" w14:textId="77777777" w:rsidR="00B101BD" w:rsidRDefault="00B101BD">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BE4219C" w14:textId="77777777" w:rsidR="00B101BD" w:rsidRDefault="00B101BD">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19EA1964" w14:textId="77777777" w:rsidR="00B101BD" w:rsidRDefault="00B101BD">
            <w:pPr>
              <w:spacing w:after="0" w:line="240" w:lineRule="auto"/>
              <w:jc w:val="right"/>
              <w:rPr>
                <w:rFonts w:ascii="Calibri" w:eastAsia="Calibri" w:hAnsi="Calibri" w:cs="Calibri"/>
                <w:color w:val="000000"/>
                <w:sz w:val="20"/>
              </w:rPr>
            </w:pPr>
          </w:p>
        </w:tc>
      </w:tr>
      <w:tr w:rsidR="00B101BD" w:rsidRPr="00EF096F" w14:paraId="0A41B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10455" w:type="dxa"/>
            <w:gridSpan w:val="6"/>
            <w:tcBorders>
              <w:top w:val="nil"/>
              <w:left w:val="nil"/>
              <w:bottom w:val="nil"/>
              <w:right w:val="nil"/>
              <w:tl2br w:val="nil"/>
              <w:tr2bl w:val="nil"/>
            </w:tcBorders>
            <w:shd w:val="clear" w:color="auto" w:fill="auto"/>
            <w:tcMar>
              <w:left w:w="40" w:type="dxa"/>
              <w:right w:w="40" w:type="dxa"/>
            </w:tcMar>
            <w:vAlign w:val="bottom"/>
          </w:tcPr>
          <w:p w14:paraId="68E091AE"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 *The balance sheet data as of December 31, 2020 has been derived from the audited consolidated financial statements at that date.</w:t>
            </w:r>
          </w:p>
        </w:tc>
      </w:tr>
    </w:tbl>
    <w:p w14:paraId="162F2350" w14:textId="77777777" w:rsidR="00B101BD" w:rsidRPr="00FF4909" w:rsidRDefault="00B101BD">
      <w:pPr>
        <w:spacing w:after="0" w:line="240" w:lineRule="auto"/>
        <w:rPr>
          <w:rFonts w:cs="Calibri"/>
          <w:lang w:val="en-US"/>
        </w:rPr>
      </w:pPr>
    </w:p>
    <w:tbl>
      <w:tblPr>
        <w:tblStyle w:val="CDMRange1"/>
        <w:tblW w:w="10440" w:type="dxa"/>
        <w:tblLayout w:type="fixed"/>
        <w:tblLook w:val="0600" w:firstRow="0" w:lastRow="0" w:firstColumn="0" w:lastColumn="0" w:noHBand="1" w:noVBand="1"/>
      </w:tblPr>
      <w:tblGrid>
        <w:gridCol w:w="195"/>
        <w:gridCol w:w="5760"/>
        <w:gridCol w:w="165"/>
        <w:gridCol w:w="2070"/>
        <w:gridCol w:w="180"/>
        <w:gridCol w:w="2070"/>
      </w:tblGrid>
      <w:tr w:rsidR="00B101BD" w:rsidRPr="00EF096F" w14:paraId="754625F2" w14:textId="77777777">
        <w:trPr>
          <w:trHeight w:hRule="exact" w:val="255"/>
        </w:trPr>
        <w:tc>
          <w:tcPr>
            <w:tcW w:w="10440" w:type="dxa"/>
            <w:gridSpan w:val="6"/>
            <w:tcBorders>
              <w:top w:val="nil"/>
              <w:left w:val="nil"/>
              <w:bottom w:val="nil"/>
              <w:right w:val="nil"/>
              <w:tl2br w:val="nil"/>
              <w:tr2bl w:val="nil"/>
            </w:tcBorders>
            <w:shd w:val="clear" w:color="auto" w:fill="auto"/>
            <w:noWrap/>
            <w:tcMar>
              <w:left w:w="40" w:type="dxa"/>
              <w:right w:w="40" w:type="dxa"/>
            </w:tcMar>
            <w:vAlign w:val="bottom"/>
          </w:tcPr>
          <w:p w14:paraId="296A7CE5"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OTHER FINANCIAL DATA (CONTINUING AND DISCONTINUED OPERATIONS)</w:t>
            </w:r>
          </w:p>
        </w:tc>
      </w:tr>
      <w:tr w:rsidR="00B101BD" w:rsidRPr="00EF096F" w14:paraId="2684A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95" w:type="dxa"/>
            <w:tcBorders>
              <w:top w:val="nil"/>
              <w:left w:val="nil"/>
              <w:bottom w:val="nil"/>
              <w:right w:val="nil"/>
              <w:tl2br w:val="nil"/>
              <w:tr2bl w:val="nil"/>
            </w:tcBorders>
            <w:shd w:val="clear" w:color="auto" w:fill="auto"/>
            <w:tcMar>
              <w:left w:w="0" w:type="dxa"/>
              <w:right w:w="0" w:type="dxa"/>
            </w:tcMar>
            <w:vAlign w:val="bottom"/>
          </w:tcPr>
          <w:p w14:paraId="1F2A9D11" w14:textId="77777777" w:rsidR="00B101BD" w:rsidRPr="00FF4909" w:rsidRDefault="00B101BD">
            <w:pPr>
              <w:spacing w:after="0" w:line="240" w:lineRule="auto"/>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tcMar>
              <w:left w:w="0" w:type="dxa"/>
              <w:right w:w="0" w:type="dxa"/>
            </w:tcMar>
            <w:vAlign w:val="bottom"/>
          </w:tcPr>
          <w:p w14:paraId="40D85B3C" w14:textId="77777777" w:rsidR="00B101BD" w:rsidRPr="00FF4909" w:rsidRDefault="00B101BD">
            <w:pPr>
              <w:spacing w:after="0" w:line="240" w:lineRule="auto"/>
              <w:rPr>
                <w:rFonts w:ascii="Calibri" w:eastAsia="Calibri" w:hAnsi="Calibri" w:cs="Calibri"/>
                <w:b/>
                <w:color w:val="000000"/>
                <w:sz w:val="20"/>
                <w:lang w:val="en-US"/>
              </w:rPr>
            </w:pPr>
          </w:p>
        </w:tc>
        <w:tc>
          <w:tcPr>
            <w:tcW w:w="165" w:type="dxa"/>
            <w:tcBorders>
              <w:top w:val="nil"/>
              <w:left w:val="nil"/>
              <w:bottom w:val="nil"/>
              <w:right w:val="nil"/>
              <w:tl2br w:val="nil"/>
              <w:tr2bl w:val="nil"/>
            </w:tcBorders>
            <w:shd w:val="clear" w:color="auto" w:fill="auto"/>
            <w:noWrap/>
            <w:tcMar>
              <w:left w:w="0" w:type="dxa"/>
              <w:right w:w="0" w:type="dxa"/>
            </w:tcMar>
            <w:vAlign w:val="bottom"/>
          </w:tcPr>
          <w:p w14:paraId="4730E044" w14:textId="77777777" w:rsidR="00B101BD" w:rsidRPr="00FF4909" w:rsidRDefault="00B101BD">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391877E1" w14:textId="77777777" w:rsidR="00B101BD" w:rsidRPr="00FF4909" w:rsidRDefault="00B101BD">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ABBD125" w14:textId="77777777" w:rsidR="00B101BD" w:rsidRPr="00FF4909" w:rsidRDefault="00B101BD">
            <w:pPr>
              <w:spacing w:after="0" w:line="240" w:lineRule="auto"/>
              <w:rPr>
                <w:rFonts w:ascii="Calibri" w:eastAsia="Calibri" w:hAnsi="Calibri" w:cs="Calibri"/>
                <w:b/>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1253738D" w14:textId="77777777" w:rsidR="00B101BD" w:rsidRPr="00FF4909" w:rsidRDefault="00B101BD">
            <w:pPr>
              <w:spacing w:after="0" w:line="240" w:lineRule="auto"/>
              <w:rPr>
                <w:rFonts w:ascii="Calibri" w:eastAsia="Calibri" w:hAnsi="Calibri" w:cs="Calibri"/>
                <w:b/>
                <w:color w:val="000000"/>
                <w:sz w:val="20"/>
                <w:lang w:val="en-US"/>
              </w:rPr>
            </w:pPr>
          </w:p>
        </w:tc>
      </w:tr>
      <w:tr w:rsidR="00B101BD" w:rsidRPr="00EF096F" w14:paraId="089C18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tcMar>
              <w:left w:w="0" w:type="dxa"/>
              <w:right w:w="0" w:type="dxa"/>
            </w:tcMar>
            <w:vAlign w:val="bottom"/>
          </w:tcPr>
          <w:p w14:paraId="4AD9D6BB"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220F9AED" w14:textId="77777777" w:rsidR="00B101BD" w:rsidRPr="00FF4909" w:rsidRDefault="00B101BD">
            <w:pPr>
              <w:spacing w:after="0" w:line="240" w:lineRule="auto"/>
              <w:rPr>
                <w:rFonts w:ascii="Calibri" w:eastAsia="Calibri" w:hAnsi="Calibri" w:cs="Calibri"/>
                <w:color w:val="000000"/>
                <w:sz w:val="20"/>
                <w:lang w:val="en-US"/>
              </w:rPr>
            </w:pPr>
          </w:p>
        </w:tc>
        <w:tc>
          <w:tcPr>
            <w:tcW w:w="165" w:type="dxa"/>
            <w:tcBorders>
              <w:top w:val="nil"/>
              <w:left w:val="nil"/>
              <w:bottom w:val="nil"/>
              <w:right w:val="nil"/>
              <w:tl2br w:val="nil"/>
              <w:tr2bl w:val="nil"/>
            </w:tcBorders>
            <w:shd w:val="clear" w:color="auto" w:fill="auto"/>
            <w:tcMar>
              <w:left w:w="0" w:type="dxa"/>
              <w:right w:w="0" w:type="dxa"/>
            </w:tcMar>
            <w:vAlign w:val="bottom"/>
          </w:tcPr>
          <w:p w14:paraId="4BB74B84" w14:textId="77777777" w:rsidR="00B101BD" w:rsidRPr="00FF4909" w:rsidRDefault="00B101BD">
            <w:pPr>
              <w:spacing w:after="0" w:line="240" w:lineRule="auto"/>
              <w:jc w:val="center"/>
              <w:rPr>
                <w:rFonts w:ascii="Calibri" w:eastAsia="Calibri" w:hAnsi="Calibri" w:cs="Calibri"/>
                <w:b/>
                <w:color w:val="000000"/>
                <w:sz w:val="18"/>
                <w:lang w:val="en-US"/>
              </w:rPr>
            </w:pPr>
          </w:p>
        </w:tc>
        <w:tc>
          <w:tcPr>
            <w:tcW w:w="4320" w:type="dxa"/>
            <w:gridSpan w:val="3"/>
            <w:tcBorders>
              <w:top w:val="nil"/>
              <w:left w:val="nil"/>
              <w:bottom w:val="nil"/>
              <w:right w:val="nil"/>
              <w:tl2br w:val="nil"/>
              <w:tr2bl w:val="nil"/>
            </w:tcBorders>
            <w:shd w:val="clear" w:color="auto" w:fill="auto"/>
            <w:tcMar>
              <w:left w:w="40" w:type="dxa"/>
              <w:right w:w="40" w:type="dxa"/>
            </w:tcMar>
            <w:vAlign w:val="bottom"/>
          </w:tcPr>
          <w:p w14:paraId="51D8E37D" w14:textId="77777777" w:rsidR="00B101BD" w:rsidRPr="00FF4909" w:rsidRDefault="00885344">
            <w:pPr>
              <w:spacing w:after="0" w:line="240" w:lineRule="auto"/>
              <w:jc w:val="center"/>
              <w:rPr>
                <w:rFonts w:ascii="Calibri" w:eastAsia="Calibri" w:hAnsi="Calibri" w:cs="Calibri"/>
                <w:b/>
                <w:color w:val="000000"/>
                <w:sz w:val="18"/>
                <w:lang w:val="en-US"/>
              </w:rPr>
            </w:pPr>
            <w:r w:rsidRPr="00FF4909">
              <w:rPr>
                <w:rFonts w:ascii="Calibri" w:eastAsia="Calibri" w:hAnsi="Calibri" w:cs="Calibri"/>
                <w:b/>
                <w:color w:val="000000"/>
                <w:sz w:val="18"/>
                <w:lang w:val="en-US"/>
              </w:rPr>
              <w:t>For the three months ended March 31,</w:t>
            </w:r>
          </w:p>
        </w:tc>
      </w:tr>
      <w:tr w:rsidR="00B101BD" w14:paraId="0DC19C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76ECF53"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21147EDE" w14:textId="77777777" w:rsidR="00B101BD" w:rsidRPr="00FF4909" w:rsidRDefault="00B101BD">
            <w:pPr>
              <w:spacing w:after="0" w:line="240" w:lineRule="auto"/>
              <w:rPr>
                <w:rFonts w:ascii="Calibri" w:eastAsia="Calibri" w:hAnsi="Calibri" w:cs="Calibri"/>
                <w:color w:val="000000"/>
                <w:sz w:val="20"/>
                <w:lang w:val="en-US"/>
              </w:rPr>
            </w:pPr>
          </w:p>
        </w:tc>
        <w:tc>
          <w:tcPr>
            <w:tcW w:w="165" w:type="dxa"/>
            <w:tcBorders>
              <w:top w:val="nil"/>
              <w:left w:val="nil"/>
              <w:bottom w:val="nil"/>
              <w:right w:val="nil"/>
              <w:tl2br w:val="nil"/>
              <w:tr2bl w:val="nil"/>
            </w:tcBorders>
            <w:shd w:val="clear" w:color="auto" w:fill="auto"/>
            <w:tcMar>
              <w:left w:w="0" w:type="dxa"/>
              <w:right w:w="0" w:type="dxa"/>
            </w:tcMar>
            <w:vAlign w:val="bottom"/>
          </w:tcPr>
          <w:p w14:paraId="2A53CAB7" w14:textId="77777777" w:rsidR="00B101BD" w:rsidRPr="00FF4909" w:rsidRDefault="00B101BD">
            <w:pPr>
              <w:spacing w:after="0" w:line="240" w:lineRule="auto"/>
              <w:jc w:val="center"/>
              <w:rPr>
                <w:rFonts w:ascii="Calibri" w:eastAsia="Calibri" w:hAnsi="Calibri" w:cs="Calibri"/>
                <w:b/>
                <w:color w:val="000000"/>
                <w:sz w:val="18"/>
                <w:lang w:val="en-US"/>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6B948D91"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D07F1A1" w14:textId="77777777" w:rsidR="00B101BD" w:rsidRDefault="00B101BD">
            <w:pPr>
              <w:spacing w:after="0" w:line="240" w:lineRule="auto"/>
              <w:jc w:val="center"/>
              <w:rPr>
                <w:rFonts w:ascii="Calibri" w:eastAsia="Calibri" w:hAnsi="Calibri" w:cs="Calibri"/>
                <w:b/>
                <w:color w:val="000000"/>
                <w:sz w:val="18"/>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74CD945D" w14:textId="77777777" w:rsidR="00B101BD" w:rsidRDefault="00885344">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r>
      <w:tr w:rsidR="00B101BD" w14:paraId="14D6D1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7A4CACD" w14:textId="77777777" w:rsidR="00B101BD" w:rsidRDefault="00B101BD">
            <w:pPr>
              <w:spacing w:after="0" w:line="240" w:lineRule="auto"/>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68050385" w14:textId="77777777" w:rsidR="00B101BD" w:rsidRDefault="00B101BD">
            <w:pPr>
              <w:spacing w:after="0" w:line="240" w:lineRule="auto"/>
              <w:rPr>
                <w:rFonts w:ascii="Calibri" w:eastAsia="Calibri" w:hAnsi="Calibri" w:cs="Calibri"/>
                <w:color w:val="000000"/>
                <w:sz w:val="20"/>
              </w:rPr>
            </w:pPr>
          </w:p>
        </w:tc>
        <w:tc>
          <w:tcPr>
            <w:tcW w:w="165" w:type="dxa"/>
            <w:tcBorders>
              <w:top w:val="nil"/>
              <w:left w:val="nil"/>
              <w:bottom w:val="nil"/>
              <w:right w:val="nil"/>
              <w:tl2br w:val="nil"/>
              <w:tr2bl w:val="nil"/>
            </w:tcBorders>
            <w:shd w:val="clear" w:color="auto" w:fill="auto"/>
            <w:tcMar>
              <w:left w:w="0" w:type="dxa"/>
              <w:right w:w="0" w:type="dxa"/>
            </w:tcMar>
            <w:vAlign w:val="bottom"/>
          </w:tcPr>
          <w:p w14:paraId="2364F87C" w14:textId="77777777" w:rsidR="00B101BD" w:rsidRDefault="00B101BD">
            <w:pPr>
              <w:spacing w:after="0" w:line="240" w:lineRule="auto"/>
              <w:jc w:val="center"/>
              <w:rPr>
                <w:rFonts w:ascii="Calibri" w:eastAsia="Calibri" w:hAnsi="Calibri" w:cs="Calibri"/>
                <w:color w:val="000000"/>
                <w:sz w:val="18"/>
              </w:rPr>
            </w:pPr>
          </w:p>
        </w:tc>
        <w:tc>
          <w:tcPr>
            <w:tcW w:w="2070" w:type="dxa"/>
            <w:tcBorders>
              <w:top w:val="single" w:sz="4" w:space="0" w:color="000000"/>
              <w:left w:val="nil"/>
              <w:bottom w:val="nil"/>
              <w:right w:val="nil"/>
              <w:tl2br w:val="nil"/>
              <w:tr2bl w:val="nil"/>
            </w:tcBorders>
            <w:shd w:val="clear" w:color="auto" w:fill="auto"/>
            <w:tcMar>
              <w:left w:w="40" w:type="dxa"/>
              <w:right w:w="40" w:type="dxa"/>
            </w:tcMar>
            <w:vAlign w:val="bottom"/>
          </w:tcPr>
          <w:p w14:paraId="739D677D"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8981A52" w14:textId="77777777" w:rsidR="00B101BD" w:rsidRDefault="00B101BD">
            <w:pPr>
              <w:spacing w:after="0" w:line="240" w:lineRule="auto"/>
              <w:jc w:val="center"/>
              <w:rPr>
                <w:rFonts w:ascii="Calibri" w:eastAsia="Calibri" w:hAnsi="Calibri" w:cs="Calibri"/>
                <w:color w:val="000000"/>
                <w:sz w:val="18"/>
              </w:rPr>
            </w:pPr>
          </w:p>
        </w:tc>
        <w:tc>
          <w:tcPr>
            <w:tcW w:w="2070" w:type="dxa"/>
            <w:tcBorders>
              <w:top w:val="single" w:sz="4" w:space="0" w:color="000000"/>
              <w:left w:val="nil"/>
              <w:bottom w:val="nil"/>
              <w:right w:val="nil"/>
              <w:tl2br w:val="nil"/>
              <w:tr2bl w:val="nil"/>
            </w:tcBorders>
            <w:shd w:val="clear" w:color="auto" w:fill="auto"/>
            <w:tcMar>
              <w:left w:w="40" w:type="dxa"/>
              <w:right w:w="40" w:type="dxa"/>
            </w:tcMar>
            <w:vAlign w:val="bottom"/>
          </w:tcPr>
          <w:p w14:paraId="7E36BBFD" w14:textId="77777777" w:rsidR="00B101BD" w:rsidRDefault="00885344">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B101BD" w14:paraId="08EBF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101D8D41" w14:textId="77777777" w:rsidR="00B101BD" w:rsidRPr="00FF4909" w:rsidRDefault="00885344">
            <w:pPr>
              <w:spacing w:after="0" w:line="240" w:lineRule="auto"/>
              <w:jc w:val="both"/>
              <w:rPr>
                <w:rFonts w:ascii="Calibri" w:eastAsia="Calibri" w:hAnsi="Calibri" w:cs="Calibri"/>
                <w:color w:val="000000"/>
                <w:sz w:val="20"/>
                <w:lang w:val="en-US"/>
              </w:rPr>
            </w:pPr>
            <w:r w:rsidRPr="00FF4909">
              <w:rPr>
                <w:rFonts w:ascii="Calibri" w:eastAsia="Calibri" w:hAnsi="Calibri" w:cs="Calibri"/>
                <w:color w:val="000000"/>
                <w:sz w:val="20"/>
                <w:lang w:val="en-US"/>
              </w:rPr>
              <w:t xml:space="preserve"> Net Cash provided by / (used in) Operating Activities </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58C0A152"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40" w:type="dxa"/>
            </w:tcMar>
            <w:vAlign w:val="bottom"/>
          </w:tcPr>
          <w:p w14:paraId="70F9B52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(1,383)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6A7AEBA"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59E6DE5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7,094</w:t>
            </w:r>
          </w:p>
        </w:tc>
      </w:tr>
      <w:tr w:rsidR="00B101BD" w14:paraId="294D4C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6087BC3E" w14:textId="77777777" w:rsidR="00B101BD" w:rsidRPr="00FF4909" w:rsidRDefault="00885344">
            <w:pPr>
              <w:spacing w:after="0" w:line="240" w:lineRule="auto"/>
              <w:jc w:val="both"/>
              <w:rPr>
                <w:rFonts w:ascii="Calibri" w:eastAsia="Calibri" w:hAnsi="Calibri" w:cs="Calibri"/>
                <w:color w:val="000000"/>
                <w:sz w:val="20"/>
                <w:lang w:val="en-US"/>
              </w:rPr>
            </w:pPr>
            <w:r w:rsidRPr="00FF4909">
              <w:rPr>
                <w:rFonts w:ascii="Calibri" w:eastAsia="Calibri" w:hAnsi="Calibri" w:cs="Calibri"/>
                <w:color w:val="000000"/>
                <w:sz w:val="20"/>
                <w:lang w:val="en-US"/>
              </w:rPr>
              <w:t xml:space="preserve"> Net Cash used in Investing Activities</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524D826B"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40" w:type="dxa"/>
            </w:tcMar>
            <w:vAlign w:val="bottom"/>
          </w:tcPr>
          <w:p w14:paraId="0291324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(253)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7431E8C"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40" w:type="dxa"/>
            </w:tcMar>
            <w:vAlign w:val="bottom"/>
          </w:tcPr>
          <w:p w14:paraId="04F7964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(41,272)</w:t>
            </w:r>
          </w:p>
        </w:tc>
      </w:tr>
      <w:tr w:rsidR="00B101BD" w14:paraId="537FE1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157EBBDB" w14:textId="77777777" w:rsidR="00B101BD" w:rsidRPr="00FF4909" w:rsidRDefault="00885344">
            <w:pPr>
              <w:spacing w:after="0" w:line="240" w:lineRule="auto"/>
              <w:jc w:val="both"/>
              <w:rPr>
                <w:rFonts w:ascii="Calibri" w:eastAsia="Calibri" w:hAnsi="Calibri" w:cs="Calibri"/>
                <w:color w:val="000000"/>
                <w:sz w:val="20"/>
                <w:lang w:val="en-US"/>
              </w:rPr>
            </w:pPr>
            <w:r w:rsidRPr="00FF4909">
              <w:rPr>
                <w:rFonts w:ascii="Calibri" w:eastAsia="Calibri" w:hAnsi="Calibri" w:cs="Calibri"/>
                <w:color w:val="000000"/>
                <w:sz w:val="20"/>
                <w:lang w:val="en-US"/>
              </w:rPr>
              <w:t xml:space="preserve"> Net Cash provided by / (used in) Financing Activities</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39F972FC"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40" w:type="dxa"/>
            </w:tcMar>
            <w:vAlign w:val="bottom"/>
          </w:tcPr>
          <w:p w14:paraId="31BD10C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(1,978)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D388279"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noWrap/>
            <w:tcMar>
              <w:left w:w="40" w:type="dxa"/>
              <w:right w:w="100" w:type="dxa"/>
            </w:tcMar>
            <w:vAlign w:val="bottom"/>
          </w:tcPr>
          <w:p w14:paraId="3BF224F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22,007</w:t>
            </w:r>
          </w:p>
        </w:tc>
      </w:tr>
    </w:tbl>
    <w:p w14:paraId="6C0954A5" w14:textId="77777777" w:rsidR="0013625F" w:rsidRPr="00456147" w:rsidRDefault="00885344" w:rsidP="000604A9">
      <w:pPr>
        <w:pStyle w:val="Normal0"/>
        <w:pageBreakBefore/>
        <w:jc w:val="both"/>
        <w:rPr>
          <w:rFonts w:ascii="Calibri" w:eastAsia="Calibri" w:hAnsi="Calibri" w:cs="Calibri"/>
          <w:b/>
          <w:bCs/>
          <w:lang w:val="en-GB"/>
        </w:rPr>
      </w:pPr>
      <w:r>
        <w:rPr>
          <w:rFonts w:ascii="Calibri" w:eastAsia="Calibri" w:hAnsi="Calibri" w:cs="Calibri"/>
          <w:b/>
          <w:bCs/>
          <w:lang w:val="en-GB"/>
        </w:rPr>
        <w:lastRenderedPageBreak/>
        <w:t>Dividend Policy</w:t>
      </w:r>
      <w:r w:rsidR="00AE66D4">
        <w:rPr>
          <w:rFonts w:ascii="Calibri" w:eastAsia="Calibri" w:hAnsi="Calibri" w:cs="Calibri"/>
          <w:b/>
          <w:bCs/>
          <w:lang w:val="en-GB"/>
        </w:rPr>
        <w:t xml:space="preserve"> – Quarterly </w:t>
      </w:r>
      <w:r>
        <w:rPr>
          <w:rFonts w:ascii="Calibri" w:eastAsia="Calibri" w:hAnsi="Calibri" w:cs="Calibri"/>
          <w:b/>
          <w:bCs/>
          <w:lang w:val="en-GB"/>
        </w:rPr>
        <w:t>Calcula</w:t>
      </w:r>
      <w:r w:rsidR="00AE66D4">
        <w:rPr>
          <w:rFonts w:ascii="Calibri" w:eastAsia="Calibri" w:hAnsi="Calibri" w:cs="Calibri"/>
          <w:b/>
          <w:bCs/>
          <w:lang w:val="en-GB"/>
        </w:rPr>
        <w:t>tions</w:t>
      </w:r>
    </w:p>
    <w:p w14:paraId="3D012AF6" w14:textId="77777777" w:rsidR="008E425F" w:rsidRDefault="00885344" w:rsidP="00DA4DA7">
      <w:pPr>
        <w:jc w:val="both"/>
        <w:rPr>
          <w:rFonts w:cs="Calibri"/>
          <w:lang w:val="en-US"/>
        </w:rPr>
      </w:pPr>
      <w:r>
        <w:rPr>
          <w:rFonts w:cs="Calibri"/>
          <w:lang w:val="en-US"/>
        </w:rPr>
        <w:t xml:space="preserve">Our Board of Directors has adopted a variable quarterly dividend policy, pursuant to which we may declare and pay a variable quarterly cash dividend. If declared, the quarterly dividend is expected to be paid each February, May, August and November and  will be equal to available cash from operations during the previous quarter after cash payments for debt repayment and interest expense and reserves for the replacement of our vessels, scheduled drydockings, intermediate and special surveys and other purposes as our Board of Directors may from time to time determine are required, after taking into account contingent liabilities, the terms of any credit facility, our growth strategy and other cash needs </w:t>
      </w:r>
      <w:r w:rsidR="002277FF">
        <w:rPr>
          <w:rFonts w:cs="Calibri"/>
          <w:lang w:val="en-US"/>
        </w:rPr>
        <w:t>as well as</w:t>
      </w:r>
      <w:r>
        <w:rPr>
          <w:rFonts w:cs="Calibri"/>
          <w:lang w:val="en-US"/>
        </w:rPr>
        <w:t xml:space="preserve"> the requirements of Marshall Islands law. The declaration and payment of dividends is, at all times, subject to the discretion of our Board of Directors. Our Board of Directors may review and amend our dividend policy from time to time, in light of our plans for future growth and other factors.</w:t>
      </w:r>
    </w:p>
    <w:p w14:paraId="70DA044B" w14:textId="77777777" w:rsidR="008E425F" w:rsidRDefault="00885344" w:rsidP="00DA4DA7">
      <w:pPr>
        <w:jc w:val="both"/>
        <w:rPr>
          <w:rFonts w:cs="Calibri"/>
          <w:lang w:val="en-US"/>
        </w:rPr>
      </w:pPr>
      <w:r>
        <w:rPr>
          <w:rFonts w:cs="Calibri"/>
          <w:lang w:val="en-US"/>
        </w:rPr>
        <w:t>In accordance with our dividend policy, and taking into account the above-listed factors, we expect to pay dividends only if during the preceding quarter Quarterly Cash Flow is positive and Quarter-End Excess Cash is also positive. As a general guideline, the amount of any such dividends is expected to be based on a pay-out ratio of the lower of i) Quarterly Cash Flow</w:t>
      </w:r>
      <w:r w:rsidR="00BE5BD6">
        <w:rPr>
          <w:rFonts w:cs="Calibri"/>
          <w:lang w:val="en-US"/>
        </w:rPr>
        <w:t>;</w:t>
      </w:r>
      <w:r>
        <w:rPr>
          <w:rFonts w:cs="Calibri"/>
          <w:lang w:val="en-US"/>
        </w:rPr>
        <w:t xml:space="preserve"> and ii) Quarter-End Excess Cash. So long as our end of quarter outstanding debt exceeds our equity market capitalization our pay-out ratio is expected to be 50%. We will consider increasing the pay-out ratio gradually up to a maximum level of 90% that we may achieve when our end of quarter outstanding debt is less than 10% of our</w:t>
      </w:r>
      <w:r w:rsidR="009D0434">
        <w:rPr>
          <w:rFonts w:cs="Calibri"/>
          <w:lang w:val="en-US"/>
        </w:rPr>
        <w:t xml:space="preserve"> equity market capitalization. </w:t>
      </w:r>
      <w:r>
        <w:rPr>
          <w:rFonts w:cs="Calibri"/>
          <w:lang w:val="en-US"/>
        </w:rPr>
        <w:t>Quarter-End Excess Cash is defined as actual end of quarter Cash and Cash Equivalents over our Minimum Cash Threshold. Minimum Cash Threshold is defined as the sum of minimum liquidity pursuant to our loan agreements and $1.5 million per vessel. Our bank facilities currently require us to maintain minimum liquidity of $9.0 million.  </w:t>
      </w:r>
    </w:p>
    <w:p w14:paraId="76E3A4C8" w14:textId="77777777" w:rsidR="008E425F" w:rsidRDefault="00885344" w:rsidP="00DA4DA7">
      <w:pPr>
        <w:pStyle w:val="NoSpacing"/>
        <w:spacing w:line="276" w:lineRule="auto"/>
        <w:jc w:val="both"/>
        <w:rPr>
          <w:rFonts w:cs="Calibri"/>
          <w:lang w:val="en-US"/>
        </w:rPr>
      </w:pPr>
      <w:r>
        <w:rPr>
          <w:rFonts w:cs="Calibri"/>
          <w:lang w:val="en-US"/>
        </w:rPr>
        <w:t xml:space="preserve">Quarterly Cash Flow is equal to voyage and time charter revenues less voyage expenses, less vessel operating expenses, less general and administrative expenses, less - the greater of i) net interest expense and repayment of long-term bank debt or ii) fleet replacement reserves - and less maintenance reserves for our fleet. </w:t>
      </w:r>
    </w:p>
    <w:p w14:paraId="16359075" w14:textId="77777777" w:rsidR="008E425F" w:rsidRDefault="008E425F" w:rsidP="00DA4DA7">
      <w:pPr>
        <w:pStyle w:val="NoSpacing"/>
        <w:spacing w:line="276" w:lineRule="auto"/>
        <w:jc w:val="both"/>
        <w:rPr>
          <w:rFonts w:cs="Calibri"/>
          <w:lang w:val="en-US"/>
        </w:rPr>
      </w:pPr>
    </w:p>
    <w:p w14:paraId="1FF39F77" w14:textId="77777777" w:rsidR="002F0860" w:rsidRPr="00DA4DA7" w:rsidRDefault="00885344" w:rsidP="00DA4DA7">
      <w:pPr>
        <w:pStyle w:val="NoSpacing"/>
        <w:spacing w:line="276" w:lineRule="auto"/>
        <w:jc w:val="both"/>
        <w:rPr>
          <w:rFonts w:cs="Calibri"/>
          <w:lang w:val="en-US"/>
        </w:rPr>
      </w:pPr>
      <w:r>
        <w:rPr>
          <w:rFonts w:cs="Calibri"/>
          <w:lang w:val="en-US"/>
        </w:rPr>
        <w:t>We believe the above approach will en</w:t>
      </w:r>
      <w:r w:rsidR="001C6D48">
        <w:rPr>
          <w:rFonts w:cs="Calibri"/>
          <w:lang w:val="en-US"/>
        </w:rPr>
        <w:t>sure the sustainability of our C</w:t>
      </w:r>
      <w:r>
        <w:rPr>
          <w:rFonts w:cs="Calibri"/>
          <w:lang w:val="en-US"/>
        </w:rPr>
        <w:t>ompany and replacement of our fleet as during quarters where either Excess Cash is negative or Quarterly Cash Flow is negative, we will not pay dividends until Quarterly Cash Flow is positive and Excess Cash is also positive. Below are our calculations of Quarter-End Excess Cash and Quarterly Cash Flow for the first quarter of 2021.</w:t>
      </w:r>
    </w:p>
    <w:p w14:paraId="60394C3B" w14:textId="77777777" w:rsidR="00B53E27" w:rsidRPr="003F133C" w:rsidRDefault="00B53E27" w:rsidP="00DA4DA7">
      <w:pPr>
        <w:pStyle w:val="BodyText"/>
        <w:spacing w:line="276" w:lineRule="auto"/>
        <w:jc w:val="both"/>
        <w:rPr>
          <w:rFonts w:ascii="Calibri" w:eastAsia="Calibri" w:hAnsi="Calibri" w:cs="Calibri"/>
          <w:b/>
          <w:szCs w:val="24"/>
          <w:lang w:val="en-GB"/>
        </w:rPr>
      </w:pPr>
    </w:p>
    <w:tbl>
      <w:tblPr>
        <w:tblStyle w:val="CDMRange2"/>
        <w:tblW w:w="8850" w:type="dxa"/>
        <w:tblLayout w:type="fixed"/>
        <w:tblLook w:val="0600" w:firstRow="0" w:lastRow="0" w:firstColumn="0" w:lastColumn="0" w:noHBand="1" w:noVBand="1"/>
      </w:tblPr>
      <w:tblGrid>
        <w:gridCol w:w="285"/>
        <w:gridCol w:w="4470"/>
        <w:gridCol w:w="180"/>
        <w:gridCol w:w="3915"/>
      </w:tblGrid>
      <w:tr w:rsidR="00B101BD" w14:paraId="38AD8439" w14:textId="77777777">
        <w:trPr>
          <w:trHeight w:hRule="exact" w:val="300"/>
        </w:trPr>
        <w:tc>
          <w:tcPr>
            <w:tcW w:w="8850" w:type="dxa"/>
            <w:gridSpan w:val="4"/>
            <w:tcBorders>
              <w:top w:val="nil"/>
              <w:left w:val="nil"/>
              <w:bottom w:val="nil"/>
              <w:right w:val="nil"/>
              <w:tl2br w:val="nil"/>
              <w:tr2bl w:val="nil"/>
            </w:tcBorders>
            <w:shd w:val="clear" w:color="auto" w:fill="auto"/>
            <w:noWrap/>
            <w:tcMar>
              <w:left w:w="40" w:type="dxa"/>
              <w:right w:w="40" w:type="dxa"/>
            </w:tcMar>
            <w:vAlign w:val="bottom"/>
          </w:tcPr>
          <w:p w14:paraId="112E4F86" w14:textId="77777777" w:rsidR="00B101BD" w:rsidRDefault="00885344">
            <w:pPr>
              <w:pageBreakBefore/>
              <w:spacing w:after="0" w:line="240" w:lineRule="auto"/>
              <w:rPr>
                <w:rFonts w:ascii="Calibri" w:eastAsia="Calibri" w:hAnsi="Calibri" w:cs="Calibri"/>
                <w:b/>
                <w:color w:val="000000"/>
                <w:sz w:val="20"/>
              </w:rPr>
            </w:pPr>
            <w:r>
              <w:rPr>
                <w:rFonts w:ascii="Calibri" w:eastAsia="Calibri" w:hAnsi="Calibri" w:cs="Calibri"/>
                <w:b/>
                <w:color w:val="000000"/>
                <w:sz w:val="20"/>
              </w:rPr>
              <w:lastRenderedPageBreak/>
              <w:t>DIVIDEND CALCULATIONS</w:t>
            </w:r>
          </w:p>
        </w:tc>
      </w:tr>
      <w:tr w:rsidR="00B101BD" w:rsidRPr="00EF096F" w14:paraId="3416D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8850" w:type="dxa"/>
            <w:gridSpan w:val="4"/>
            <w:tcBorders>
              <w:top w:val="nil"/>
              <w:left w:val="nil"/>
              <w:bottom w:val="nil"/>
              <w:right w:val="nil"/>
              <w:tl2br w:val="nil"/>
              <w:tr2bl w:val="nil"/>
            </w:tcBorders>
            <w:shd w:val="clear" w:color="auto" w:fill="auto"/>
            <w:noWrap/>
            <w:tcMar>
              <w:left w:w="40" w:type="dxa"/>
              <w:right w:w="40" w:type="dxa"/>
            </w:tcMar>
            <w:vAlign w:val="bottom"/>
          </w:tcPr>
          <w:p w14:paraId="73B64F8D"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(Expressed in thousands of U.S. Dollars)</w:t>
            </w:r>
          </w:p>
        </w:tc>
      </w:tr>
      <w:tr w:rsidR="00B101BD" w:rsidRPr="00EF096F" w14:paraId="6963DD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6AD1CC10"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0D8E7DBF" w14:textId="77777777" w:rsidR="00B101BD" w:rsidRPr="00FF4909" w:rsidRDefault="00B101BD">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E7ACCA6" w14:textId="77777777" w:rsidR="00B101BD" w:rsidRPr="00FF4909" w:rsidRDefault="00B101BD">
            <w:pPr>
              <w:spacing w:after="0" w:line="240" w:lineRule="auto"/>
              <w:jc w:val="center"/>
              <w:rPr>
                <w:rFonts w:ascii="Calibri" w:eastAsia="Calibri" w:hAnsi="Calibri" w:cs="Calibri"/>
                <w:b/>
                <w:color w:val="000000"/>
                <w:sz w:val="20"/>
                <w:lang w:val="en-US"/>
              </w:rPr>
            </w:pPr>
          </w:p>
        </w:tc>
        <w:tc>
          <w:tcPr>
            <w:tcW w:w="3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3809C1FD" w14:textId="77777777" w:rsidR="00B101BD" w:rsidRPr="00FF4909" w:rsidRDefault="00885344">
            <w:pPr>
              <w:spacing w:after="0" w:line="240" w:lineRule="auto"/>
              <w:jc w:val="center"/>
              <w:rPr>
                <w:rFonts w:ascii="Calibri" w:eastAsia="Calibri" w:hAnsi="Calibri" w:cs="Calibri"/>
                <w:b/>
                <w:color w:val="000000"/>
                <w:sz w:val="18"/>
                <w:lang w:val="en-US"/>
              </w:rPr>
            </w:pPr>
            <w:r w:rsidRPr="00FF4909">
              <w:rPr>
                <w:rFonts w:ascii="Calibri" w:eastAsia="Calibri" w:hAnsi="Calibri" w:cs="Calibri"/>
                <w:b/>
                <w:color w:val="000000"/>
                <w:sz w:val="18"/>
                <w:lang w:val="en-US"/>
              </w:rPr>
              <w:t>For the three months ended March 31, 2021</w:t>
            </w:r>
          </w:p>
        </w:tc>
      </w:tr>
      <w:tr w:rsidR="00B101BD" w14:paraId="0B3218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3744BC56" w14:textId="77777777" w:rsidR="00B101BD" w:rsidRPr="00FF4909" w:rsidRDefault="00B101BD">
            <w:pPr>
              <w:spacing w:after="0" w:line="240" w:lineRule="auto"/>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2FA0BC7"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DA2B7A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566C136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8,397</w:t>
            </w:r>
          </w:p>
        </w:tc>
      </w:tr>
      <w:tr w:rsidR="00B101BD" w14:paraId="455183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1BDB7521" w14:textId="77777777" w:rsidR="00B101BD" w:rsidRDefault="00B101BD">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4D293214"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Less, Voyage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07300DB"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16F4B85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(4,936)</w:t>
            </w:r>
          </w:p>
        </w:tc>
      </w:tr>
      <w:tr w:rsidR="00B101BD" w14:paraId="35FE80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6328FD0B" w14:textId="77777777" w:rsidR="00B101BD" w:rsidRDefault="00B101BD">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368077AC"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Less, Vessel operating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97BD1CE"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1E2CC140"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(2,878)</w:t>
            </w:r>
          </w:p>
        </w:tc>
      </w:tr>
      <w:tr w:rsidR="00B101BD" w14:paraId="782DA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7F817256"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240C547D"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Less, General and administrative expenses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812140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389646FA"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(1,423)</w:t>
            </w:r>
          </w:p>
        </w:tc>
      </w:tr>
      <w:tr w:rsidR="00B101BD" w14:paraId="798C1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B23CBA9"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748C844"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E37C98C" w14:textId="77777777" w:rsidR="00B101BD" w:rsidRDefault="00B101BD">
            <w:pPr>
              <w:spacing w:after="0" w:line="240" w:lineRule="auto"/>
              <w:rPr>
                <w:rFonts w:ascii="Calibri" w:eastAsia="Calibri" w:hAnsi="Calibri" w:cs="Calibri"/>
                <w:color w:val="000000"/>
                <w:sz w:val="20"/>
              </w:rPr>
            </w:pPr>
          </w:p>
        </w:tc>
        <w:tc>
          <w:tcPr>
            <w:tcW w:w="3915" w:type="dxa"/>
            <w:tcBorders>
              <w:top w:val="nil"/>
              <w:left w:val="nil"/>
              <w:bottom w:val="nil"/>
              <w:right w:val="nil"/>
              <w:tl2br w:val="nil"/>
              <w:tr2bl w:val="nil"/>
            </w:tcBorders>
            <w:shd w:val="clear" w:color="auto" w:fill="auto"/>
            <w:noWrap/>
            <w:tcMar>
              <w:left w:w="0" w:type="dxa"/>
              <w:right w:w="0" w:type="dxa"/>
            </w:tcMar>
            <w:vAlign w:val="bottom"/>
          </w:tcPr>
          <w:p w14:paraId="7D3BC89D" w14:textId="77777777" w:rsidR="00B101BD" w:rsidRDefault="00B101BD">
            <w:pPr>
              <w:spacing w:after="0" w:line="240" w:lineRule="auto"/>
              <w:rPr>
                <w:rFonts w:ascii="Calibri" w:eastAsia="Calibri" w:hAnsi="Calibri" w:cs="Calibri"/>
                <w:color w:val="000000"/>
                <w:sz w:val="20"/>
              </w:rPr>
            </w:pPr>
          </w:p>
        </w:tc>
      </w:tr>
      <w:tr w:rsidR="00B101BD" w:rsidRPr="00EF096F" w14:paraId="37A45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E625280"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D03A5AE" w14:textId="77777777" w:rsidR="00B101BD" w:rsidRPr="00FF4909" w:rsidRDefault="00885344">
            <w:pPr>
              <w:spacing w:after="0" w:line="240" w:lineRule="auto"/>
              <w:rPr>
                <w:rFonts w:ascii="Calibri" w:eastAsia="Calibri" w:hAnsi="Calibri" w:cs="Calibri"/>
                <w:b/>
                <w:i/>
                <w:color w:val="000000"/>
                <w:sz w:val="20"/>
                <w:lang w:val="en-US"/>
              </w:rPr>
            </w:pPr>
            <w:r w:rsidRPr="00FF4909">
              <w:rPr>
                <w:rFonts w:ascii="Calibri" w:eastAsia="Calibri" w:hAnsi="Calibri" w:cs="Calibri"/>
                <w:b/>
                <w:i/>
                <w:color w:val="000000"/>
                <w:sz w:val="20"/>
                <w:lang w:val="en-US"/>
              </w:rPr>
              <w:t>Less, Greater of (I) or (II):</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FF7F25B" w14:textId="77777777" w:rsidR="00B101BD" w:rsidRPr="00FF4909" w:rsidRDefault="00B101BD">
            <w:pPr>
              <w:spacing w:after="0" w:line="240" w:lineRule="auto"/>
              <w:rPr>
                <w:rFonts w:ascii="Calibri" w:eastAsia="Calibri" w:hAnsi="Calibri" w:cs="Calibri"/>
                <w:color w:val="000000"/>
                <w:sz w:val="20"/>
                <w:lang w:val="en-US"/>
              </w:rPr>
            </w:pPr>
          </w:p>
        </w:tc>
        <w:tc>
          <w:tcPr>
            <w:tcW w:w="3915" w:type="dxa"/>
            <w:tcBorders>
              <w:top w:val="nil"/>
              <w:left w:val="nil"/>
              <w:bottom w:val="nil"/>
              <w:right w:val="nil"/>
              <w:tl2br w:val="nil"/>
              <w:tr2bl w:val="nil"/>
            </w:tcBorders>
            <w:shd w:val="clear" w:color="auto" w:fill="auto"/>
            <w:noWrap/>
            <w:tcMar>
              <w:left w:w="0" w:type="dxa"/>
              <w:right w:w="0" w:type="dxa"/>
            </w:tcMar>
            <w:vAlign w:val="bottom"/>
          </w:tcPr>
          <w:p w14:paraId="26196780" w14:textId="77777777" w:rsidR="00B101BD" w:rsidRPr="00FF4909" w:rsidRDefault="00B101BD">
            <w:pPr>
              <w:spacing w:after="0" w:line="240" w:lineRule="auto"/>
              <w:rPr>
                <w:rFonts w:ascii="Calibri" w:eastAsia="Calibri" w:hAnsi="Calibri" w:cs="Calibri"/>
                <w:color w:val="000000"/>
                <w:sz w:val="20"/>
                <w:lang w:val="en-US"/>
              </w:rPr>
            </w:pPr>
          </w:p>
        </w:tc>
      </w:tr>
      <w:tr w:rsidR="00B101BD" w14:paraId="1E0CF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368B7496" w14:textId="77777777" w:rsidR="00B101BD" w:rsidRPr="00FF4909" w:rsidRDefault="00B101BD">
            <w:pPr>
              <w:spacing w:after="0" w:line="240" w:lineRule="auto"/>
              <w:rPr>
                <w:rFonts w:ascii="Calibri" w:eastAsia="Calibri" w:hAnsi="Calibri" w:cs="Calibri"/>
                <w:color w:val="000000"/>
                <w:sz w:val="20"/>
                <w:lang w:val="en-US"/>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F046FB7"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Interest and finance costs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83E956D"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63F7372F"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(467)</w:t>
            </w:r>
          </w:p>
        </w:tc>
      </w:tr>
      <w:tr w:rsidR="00B101BD" w14:paraId="527A59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7243FFA8" w14:textId="77777777" w:rsidR="00B101BD" w:rsidRDefault="00B101BD">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35B3B975"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Plus, Repayment of long-term bank debt</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ADE86D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5E8791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(1,978)</w:t>
            </w:r>
          </w:p>
        </w:tc>
      </w:tr>
      <w:tr w:rsidR="00B101BD" w14:paraId="7173E4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3AB603B6"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73B9305C"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Total (I)</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281320F"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16A2E0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(2,445)</w:t>
            </w:r>
          </w:p>
        </w:tc>
      </w:tr>
      <w:tr w:rsidR="00B101BD" w14:paraId="5B98D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6098B08"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37276289" w14:textId="77777777" w:rsidR="00B101BD" w:rsidRDefault="00885344">
            <w:pPr>
              <w:spacing w:after="0" w:line="240" w:lineRule="auto"/>
              <w:rPr>
                <w:rFonts w:ascii="Calibri" w:eastAsia="Calibri" w:hAnsi="Calibri" w:cs="Calibri"/>
                <w:b/>
                <w:i/>
                <w:color w:val="000000"/>
                <w:sz w:val="20"/>
              </w:rPr>
            </w:pPr>
            <w:r>
              <w:rPr>
                <w:rFonts w:ascii="Calibri" w:eastAsia="Calibri" w:hAnsi="Calibri" w:cs="Calibri"/>
                <w:b/>
                <w:i/>
                <w:color w:val="000000"/>
                <w:sz w:val="20"/>
              </w:rPr>
              <w:t>Or</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CFBF72F" w14:textId="77777777" w:rsidR="00B101BD" w:rsidRDefault="00B101BD">
            <w:pPr>
              <w:spacing w:after="0" w:line="240" w:lineRule="auto"/>
              <w:rPr>
                <w:rFonts w:ascii="Calibri" w:eastAsia="Calibri" w:hAnsi="Calibri" w:cs="Calibri"/>
                <w:color w:val="000000"/>
                <w:sz w:val="20"/>
              </w:rPr>
            </w:pPr>
          </w:p>
        </w:tc>
        <w:tc>
          <w:tcPr>
            <w:tcW w:w="3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946C8F9" w14:textId="77777777" w:rsidR="00B101BD" w:rsidRDefault="00B101BD">
            <w:pPr>
              <w:spacing w:after="0" w:line="240" w:lineRule="auto"/>
              <w:rPr>
                <w:rFonts w:ascii="Calibri" w:eastAsia="Calibri" w:hAnsi="Calibri" w:cs="Calibri"/>
                <w:color w:val="000000"/>
                <w:sz w:val="20"/>
              </w:rPr>
            </w:pPr>
          </w:p>
        </w:tc>
      </w:tr>
      <w:tr w:rsidR="00B101BD" w14:paraId="230A5D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12AB698F"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4FD442D"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Replacement reserve (II)</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32D5927"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DC1E8B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(1,714)</w:t>
            </w:r>
          </w:p>
        </w:tc>
      </w:tr>
      <w:tr w:rsidR="00B101BD" w14:paraId="68C219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5FB76B9D"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AA85CB9" w14:textId="77777777" w:rsidR="00B101BD" w:rsidRDefault="00B101BD">
            <w:pPr>
              <w:spacing w:after="0" w:line="240" w:lineRule="auto"/>
              <w:rPr>
                <w:rFonts w:ascii="Calibri" w:eastAsia="Calibri" w:hAnsi="Calibri" w:cs="Calibri"/>
                <w:b/>
                <w: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7F9F442" w14:textId="77777777" w:rsidR="00B101BD" w:rsidRDefault="00B101BD">
            <w:pPr>
              <w:spacing w:after="0" w:line="240" w:lineRule="auto"/>
              <w:rPr>
                <w:rFonts w:ascii="Calibri" w:eastAsia="Calibri" w:hAnsi="Calibri" w:cs="Calibri"/>
                <w:color w:val="000000"/>
                <w:sz w:val="20"/>
              </w:rPr>
            </w:pPr>
          </w:p>
        </w:tc>
        <w:tc>
          <w:tcPr>
            <w:tcW w:w="3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1C53A7" w14:textId="77777777" w:rsidR="00B101BD" w:rsidRDefault="00B101BD">
            <w:pPr>
              <w:spacing w:after="0" w:line="240" w:lineRule="auto"/>
              <w:rPr>
                <w:rFonts w:ascii="Calibri" w:eastAsia="Calibri" w:hAnsi="Calibri" w:cs="Calibri"/>
                <w:color w:val="000000"/>
                <w:sz w:val="20"/>
              </w:rPr>
            </w:pPr>
          </w:p>
        </w:tc>
      </w:tr>
      <w:tr w:rsidR="00B101BD" w14:paraId="0E9BF2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794779A2"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4612365C"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 xml:space="preserve">Less, Maintenance reserve </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3BC40A9" w14:textId="77777777" w:rsidR="00B101BD" w:rsidRDefault="00B101BD">
            <w:pPr>
              <w:spacing w:after="0" w:line="240" w:lineRule="auto"/>
              <w:rPr>
                <w:rFonts w:ascii="Calibri" w:eastAsia="Calibri" w:hAnsi="Calibri" w:cs="Calibri"/>
                <w:color w:val="000000"/>
                <w:sz w:val="20"/>
              </w:rPr>
            </w:pP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8097A0C"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(438)</w:t>
            </w:r>
          </w:p>
        </w:tc>
      </w:tr>
      <w:tr w:rsidR="00B101BD" w14:paraId="3164D6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0FAD584A"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Quarterly Cash Flow (A)</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820D073"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40" w:type="dxa"/>
            </w:tcMar>
            <w:vAlign w:val="bottom"/>
          </w:tcPr>
          <w:p w14:paraId="6DE97CC7" w14:textId="77777777" w:rsidR="00B101BD" w:rsidRDefault="00885344">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(3,723)</w:t>
            </w:r>
          </w:p>
        </w:tc>
      </w:tr>
      <w:tr w:rsidR="00B101BD" w14:paraId="30BE5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0487CD99"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68E7090C"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53007B" w14:textId="77777777" w:rsidR="00B101BD" w:rsidRDefault="00B101BD">
            <w:pPr>
              <w:spacing w:after="0" w:line="240" w:lineRule="auto"/>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45463078" w14:textId="77777777" w:rsidR="00B101BD" w:rsidRDefault="00B101BD">
            <w:pPr>
              <w:spacing w:after="0" w:line="240" w:lineRule="auto"/>
              <w:rPr>
                <w:rFonts w:ascii="Calibri" w:eastAsia="Calibri" w:hAnsi="Calibri" w:cs="Calibri"/>
                <w:color w:val="000000"/>
                <w:sz w:val="20"/>
              </w:rPr>
            </w:pPr>
          </w:p>
        </w:tc>
      </w:tr>
      <w:tr w:rsidR="00B101BD" w14:paraId="1E185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113DBC30" w14:textId="77777777" w:rsidR="00B101BD" w:rsidRDefault="00B101BD">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8693D6E"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Cash and cash equivalents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8665D1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nil"/>
              <w:right w:val="nil"/>
              <w:tl2br w:val="nil"/>
              <w:tr2bl w:val="nil"/>
            </w:tcBorders>
            <w:shd w:val="clear" w:color="auto" w:fill="auto"/>
            <w:noWrap/>
            <w:tcMar>
              <w:left w:w="40" w:type="dxa"/>
              <w:right w:w="100" w:type="dxa"/>
            </w:tcMar>
            <w:vAlign w:val="bottom"/>
          </w:tcPr>
          <w:p w14:paraId="1A0DCA5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17,764</w:t>
            </w:r>
          </w:p>
        </w:tc>
      </w:tr>
      <w:tr w:rsidR="00B101BD" w14:paraId="356BDF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260FE25C" w14:textId="77777777" w:rsidR="00B101BD" w:rsidRDefault="00B101BD">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4A6BBB03"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Less, Minimum Cash Threshold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1F248E5"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6E334C2"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16,500</w:t>
            </w:r>
          </w:p>
        </w:tc>
      </w:tr>
      <w:tr w:rsidR="00B101BD" w14:paraId="44D81D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06768A55"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Quarter-End Excess Cash (B)</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CA588D8"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14:paraId="457F6F28" w14:textId="77777777" w:rsidR="00B101BD" w:rsidRDefault="00885344">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1,264</w:t>
            </w:r>
          </w:p>
        </w:tc>
      </w:tr>
      <w:tr w:rsidR="00B101BD" w14:paraId="7F687A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31E565A1"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8789021" w14:textId="77777777" w:rsidR="00B101BD" w:rsidRDefault="00B101BD">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43E1622" w14:textId="77777777" w:rsidR="00B101BD" w:rsidRDefault="00B101BD">
            <w:pPr>
              <w:spacing w:after="0" w:line="240" w:lineRule="auto"/>
              <w:jc w:val="right"/>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6CE3EF84" w14:textId="77777777" w:rsidR="00B101BD" w:rsidRDefault="00B101BD">
            <w:pPr>
              <w:spacing w:after="0" w:line="240" w:lineRule="auto"/>
              <w:rPr>
                <w:rFonts w:ascii="Calibri" w:eastAsia="Calibri" w:hAnsi="Calibri" w:cs="Calibri"/>
                <w:color w:val="000000"/>
                <w:sz w:val="20"/>
              </w:rPr>
            </w:pPr>
          </w:p>
        </w:tc>
      </w:tr>
      <w:tr w:rsidR="00B101BD" w14:paraId="290DA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66359767"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 xml:space="preserve">Quarterly Cash Flow Test (A) &gt;0, </w:t>
            </w:r>
            <w:r w:rsidRPr="00FF4909">
              <w:rPr>
                <w:rFonts w:ascii="Calibri" w:eastAsia="Calibri" w:hAnsi="Calibri" w:cs="Calibri"/>
                <w:b/>
                <w:color w:val="000000"/>
                <w:sz w:val="20"/>
                <w:lang w:val="en-US"/>
              </w:rPr>
              <w:t>AND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0FE42AE" w14:textId="77777777" w:rsidR="00B101BD" w:rsidRPr="00FF4909" w:rsidRDefault="00B101BD">
            <w:pPr>
              <w:spacing w:after="0" w:line="240" w:lineRule="auto"/>
              <w:jc w:val="right"/>
              <w:rPr>
                <w:rFonts w:ascii="Calibri" w:eastAsia="Calibri" w:hAnsi="Calibri" w:cs="Calibri"/>
                <w:color w:val="000000"/>
                <w:sz w:val="20"/>
                <w:lang w:val="en-US"/>
              </w:rPr>
            </w:pPr>
          </w:p>
        </w:tc>
        <w:tc>
          <w:tcPr>
            <w:tcW w:w="3915" w:type="dxa"/>
            <w:tcBorders>
              <w:top w:val="nil"/>
              <w:left w:val="nil"/>
              <w:bottom w:val="nil"/>
              <w:right w:val="nil"/>
              <w:tl2br w:val="nil"/>
              <w:tr2bl w:val="nil"/>
            </w:tcBorders>
            <w:shd w:val="clear" w:color="auto" w:fill="auto"/>
            <w:noWrap/>
            <w:tcMar>
              <w:left w:w="40" w:type="dxa"/>
              <w:right w:w="40" w:type="dxa"/>
            </w:tcMar>
            <w:vAlign w:val="bottom"/>
          </w:tcPr>
          <w:p w14:paraId="2550D525"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Not eligible for dividend</w:t>
            </w:r>
          </w:p>
        </w:tc>
      </w:tr>
      <w:tr w:rsidR="00B101BD" w14:paraId="134CF1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0CE4B337" w14:textId="77777777" w:rsidR="00B101BD" w:rsidRPr="00FF4909" w:rsidRDefault="00885344">
            <w:pPr>
              <w:spacing w:after="0" w:line="240" w:lineRule="auto"/>
              <w:rPr>
                <w:rFonts w:ascii="Calibri" w:eastAsia="Calibri" w:hAnsi="Calibri" w:cs="Calibri"/>
                <w:color w:val="000000"/>
                <w:sz w:val="20"/>
                <w:lang w:val="en-US"/>
              </w:rPr>
            </w:pPr>
            <w:r w:rsidRPr="00FF4909">
              <w:rPr>
                <w:rFonts w:ascii="Calibri" w:eastAsia="Calibri" w:hAnsi="Calibri" w:cs="Calibri"/>
                <w:color w:val="000000"/>
                <w:sz w:val="20"/>
                <w:lang w:val="en-US"/>
              </w:rPr>
              <w:t>Quarter-End Excess Cash Test (B) &gt;0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CBC0665" w14:textId="77777777" w:rsidR="00B101BD" w:rsidRPr="00FF4909" w:rsidRDefault="00B101BD">
            <w:pPr>
              <w:spacing w:after="0" w:line="240" w:lineRule="auto"/>
              <w:jc w:val="right"/>
              <w:rPr>
                <w:rFonts w:ascii="Calibri" w:eastAsia="Calibri" w:hAnsi="Calibri" w:cs="Calibri"/>
                <w:color w:val="000000"/>
                <w:sz w:val="20"/>
                <w:lang w:val="en-US"/>
              </w:rPr>
            </w:pPr>
          </w:p>
        </w:tc>
        <w:tc>
          <w:tcPr>
            <w:tcW w:w="3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44E1A20" w14:textId="77777777" w:rsidR="00B101BD" w:rsidRDefault="00885344">
            <w:pPr>
              <w:spacing w:after="0" w:line="240" w:lineRule="auto"/>
              <w:rPr>
                <w:rFonts w:ascii="Calibri" w:eastAsia="Calibri" w:hAnsi="Calibri" w:cs="Calibri"/>
                <w:color w:val="000000"/>
                <w:sz w:val="20"/>
              </w:rPr>
            </w:pPr>
            <w:r>
              <w:rPr>
                <w:rFonts w:ascii="Calibri" w:eastAsia="Calibri" w:hAnsi="Calibri" w:cs="Calibri"/>
                <w:color w:val="000000"/>
                <w:sz w:val="20"/>
              </w:rPr>
              <w:t>Eligible for dividend</w:t>
            </w:r>
          </w:p>
        </w:tc>
      </w:tr>
      <w:tr w:rsidR="00B101BD" w14:paraId="11E9F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09D5C39A" w14:textId="77777777" w:rsidR="00B101BD" w:rsidRPr="00FF4909" w:rsidRDefault="00885344">
            <w:pPr>
              <w:spacing w:after="0" w:line="240" w:lineRule="auto"/>
              <w:rPr>
                <w:rFonts w:ascii="Calibri" w:eastAsia="Calibri" w:hAnsi="Calibri" w:cs="Calibri"/>
                <w:b/>
                <w:color w:val="000000"/>
                <w:sz w:val="20"/>
                <w:lang w:val="en-US"/>
              </w:rPr>
            </w:pPr>
            <w:r w:rsidRPr="00FF4909">
              <w:rPr>
                <w:rFonts w:ascii="Calibri" w:eastAsia="Calibri" w:hAnsi="Calibri" w:cs="Calibri"/>
                <w:b/>
                <w:color w:val="000000"/>
                <w:sz w:val="20"/>
                <w:lang w:val="en-US"/>
              </w:rPr>
              <w:t>Cash Available for Dividend, lower (A) or (B)</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8BDB3D9"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14:paraId="50A981EB" w14:textId="77777777" w:rsidR="00B101BD" w:rsidRDefault="00885344">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w:t>
            </w:r>
          </w:p>
        </w:tc>
      </w:tr>
      <w:tr w:rsidR="00B101BD" w14:paraId="52E4B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57EB4DB3"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7910B466"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Payout ratio</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0E5AE3C" w14:textId="77777777" w:rsidR="00B101BD" w:rsidRDefault="00B101BD">
            <w:pPr>
              <w:spacing w:after="0" w:line="240" w:lineRule="auto"/>
              <w:jc w:val="right"/>
              <w:rPr>
                <w:rFonts w:ascii="Calibri" w:eastAsia="Calibri" w:hAnsi="Calibri" w:cs="Calibri"/>
                <w:color w:val="000000"/>
                <w:sz w:val="20"/>
              </w:rPr>
            </w:pPr>
          </w:p>
        </w:tc>
        <w:tc>
          <w:tcPr>
            <w:tcW w:w="3915" w:type="dxa"/>
            <w:tcBorders>
              <w:top w:val="single" w:sz="8" w:space="0" w:color="000000"/>
              <w:left w:val="nil"/>
              <w:bottom w:val="single" w:sz="4" w:space="0" w:color="000000"/>
              <w:right w:val="nil"/>
              <w:tl2br w:val="nil"/>
              <w:tr2bl w:val="nil"/>
            </w:tcBorders>
            <w:shd w:val="clear" w:color="auto" w:fill="auto"/>
            <w:noWrap/>
            <w:tcMar>
              <w:left w:w="40" w:type="dxa"/>
              <w:right w:w="40" w:type="dxa"/>
            </w:tcMar>
            <w:vAlign w:val="bottom"/>
          </w:tcPr>
          <w:p w14:paraId="5659ECF7" w14:textId="77777777" w:rsidR="00B101BD" w:rsidRDefault="00885344">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50%</w:t>
            </w:r>
          </w:p>
        </w:tc>
      </w:tr>
      <w:tr w:rsidR="00B101BD" w14:paraId="4A5E55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755" w:type="dxa"/>
            <w:gridSpan w:val="2"/>
            <w:tcBorders>
              <w:top w:val="nil"/>
              <w:left w:val="nil"/>
              <w:bottom w:val="nil"/>
              <w:right w:val="nil"/>
              <w:tl2br w:val="nil"/>
              <w:tr2bl w:val="nil"/>
            </w:tcBorders>
            <w:shd w:val="clear" w:color="auto" w:fill="auto"/>
            <w:noWrap/>
            <w:tcMar>
              <w:left w:w="40" w:type="dxa"/>
              <w:right w:w="40" w:type="dxa"/>
            </w:tcMar>
            <w:vAlign w:val="bottom"/>
          </w:tcPr>
          <w:p w14:paraId="2A4B4087" w14:textId="77777777" w:rsidR="00B101BD" w:rsidRDefault="00885344">
            <w:pPr>
              <w:spacing w:after="0" w:line="240" w:lineRule="auto"/>
              <w:rPr>
                <w:rFonts w:ascii="Calibri" w:eastAsia="Calibri" w:hAnsi="Calibri" w:cs="Calibri"/>
                <w:b/>
                <w:color w:val="000000"/>
                <w:sz w:val="20"/>
              </w:rPr>
            </w:pPr>
            <w:r>
              <w:rPr>
                <w:rFonts w:ascii="Calibri" w:eastAsia="Calibri" w:hAnsi="Calibri" w:cs="Calibri"/>
                <w:b/>
                <w:color w:val="000000"/>
                <w:sz w:val="20"/>
              </w:rPr>
              <w:t>Quarterly Dividend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3F73F61" w14:textId="77777777" w:rsidR="00B101BD" w:rsidRDefault="00885344">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3915" w:type="dxa"/>
            <w:tcBorders>
              <w:top w:val="single" w:sz="4" w:space="0" w:color="000000"/>
              <w:left w:val="nil"/>
              <w:bottom w:val="single" w:sz="8" w:space="0" w:color="000000"/>
              <w:right w:val="nil"/>
              <w:tl2br w:val="nil"/>
              <w:tr2bl w:val="nil"/>
            </w:tcBorders>
            <w:shd w:val="clear" w:color="auto" w:fill="auto"/>
            <w:noWrap/>
            <w:tcMar>
              <w:left w:w="40" w:type="dxa"/>
              <w:right w:w="100" w:type="dxa"/>
            </w:tcMar>
            <w:vAlign w:val="bottom"/>
          </w:tcPr>
          <w:p w14:paraId="5F4738E3" w14:textId="77777777" w:rsidR="00B101BD" w:rsidRDefault="00885344">
            <w:pPr>
              <w:spacing w:after="0" w:line="240" w:lineRule="auto"/>
              <w:jc w:val="right"/>
              <w:rPr>
                <w:rFonts w:ascii="Calibri" w:eastAsia="Calibri" w:hAnsi="Calibri" w:cs="Calibri"/>
                <w:b/>
                <w:color w:val="000000"/>
                <w:sz w:val="20"/>
              </w:rPr>
            </w:pPr>
            <w:r>
              <w:rPr>
                <w:rFonts w:ascii="Calibri" w:eastAsia="Calibri" w:hAnsi="Calibri" w:cs="Calibri"/>
                <w:b/>
                <w:color w:val="000000"/>
                <w:sz w:val="20"/>
              </w:rPr>
              <w:t>-</w:t>
            </w:r>
          </w:p>
        </w:tc>
      </w:tr>
      <w:tr w:rsidR="00B101BD" w14:paraId="1CD90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285" w:type="dxa"/>
            <w:tcBorders>
              <w:top w:val="nil"/>
              <w:left w:val="nil"/>
              <w:bottom w:val="nil"/>
              <w:right w:val="nil"/>
              <w:tl2br w:val="nil"/>
              <w:tr2bl w:val="nil"/>
            </w:tcBorders>
            <w:shd w:val="clear" w:color="auto" w:fill="auto"/>
            <w:noWrap/>
            <w:tcMar>
              <w:left w:w="0" w:type="dxa"/>
              <w:right w:w="0" w:type="dxa"/>
            </w:tcMar>
            <w:vAlign w:val="bottom"/>
          </w:tcPr>
          <w:p w14:paraId="200A89D3" w14:textId="77777777" w:rsidR="00B101BD" w:rsidRDefault="00B101BD">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F56164E" w14:textId="77777777" w:rsidR="00B101BD" w:rsidRDefault="00B101BD">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4A28015" w14:textId="77777777" w:rsidR="00B101BD" w:rsidRDefault="00B101BD">
            <w:pPr>
              <w:spacing w:after="0" w:line="240" w:lineRule="auto"/>
              <w:rPr>
                <w:rFonts w:ascii="Calibri" w:eastAsia="Calibri" w:hAnsi="Calibri" w:cs="Calibri"/>
                <w:color w:val="000000"/>
                <w:sz w:val="20"/>
              </w:rPr>
            </w:pPr>
          </w:p>
        </w:tc>
        <w:tc>
          <w:tcPr>
            <w:tcW w:w="3915" w:type="dxa"/>
            <w:tcBorders>
              <w:top w:val="single" w:sz="8" w:space="0" w:color="000000"/>
              <w:left w:val="nil"/>
              <w:bottom w:val="nil"/>
              <w:right w:val="nil"/>
              <w:tl2br w:val="nil"/>
              <w:tr2bl w:val="nil"/>
            </w:tcBorders>
            <w:shd w:val="clear" w:color="auto" w:fill="auto"/>
            <w:noWrap/>
            <w:tcMar>
              <w:left w:w="0" w:type="dxa"/>
              <w:right w:w="0" w:type="dxa"/>
            </w:tcMar>
            <w:vAlign w:val="bottom"/>
          </w:tcPr>
          <w:p w14:paraId="591885FC" w14:textId="77777777" w:rsidR="00B101BD" w:rsidRDefault="00B101BD">
            <w:pPr>
              <w:spacing w:after="0" w:line="240" w:lineRule="auto"/>
              <w:rPr>
                <w:rFonts w:ascii="Calibri" w:eastAsia="Calibri" w:hAnsi="Calibri" w:cs="Calibri"/>
                <w:color w:val="000000"/>
                <w:sz w:val="20"/>
              </w:rPr>
            </w:pPr>
          </w:p>
        </w:tc>
      </w:tr>
    </w:tbl>
    <w:p w14:paraId="4CA23694" w14:textId="77777777" w:rsidR="00B101BD" w:rsidRDefault="00B101BD">
      <w:pPr>
        <w:spacing w:after="0" w:line="240" w:lineRule="auto"/>
        <w:rPr>
          <w:rFonts w:cs="Calibri"/>
        </w:rPr>
      </w:pPr>
    </w:p>
    <w:p w14:paraId="0614BA97" w14:textId="77777777" w:rsidR="000A2F9A" w:rsidRDefault="00885344" w:rsidP="000A2F9A">
      <w:pPr>
        <w:tabs>
          <w:tab w:val="right" w:leader="underscore" w:pos="2268"/>
        </w:tabs>
        <w:suppressAutoHyphens/>
        <w:spacing w:line="240" w:lineRule="atLeast"/>
        <w:ind w:left="720" w:hanging="720"/>
        <w:jc w:val="both"/>
        <w:rPr>
          <w:rFonts w:cs="Calibri"/>
          <w:sz w:val="20"/>
          <w:lang w:val="en-GB"/>
        </w:rPr>
      </w:pPr>
      <w:r w:rsidRPr="007A1EDB">
        <w:rPr>
          <w:rFonts w:cs="Calibri"/>
          <w:sz w:val="20"/>
          <w:lang w:val="en-GB"/>
        </w:rPr>
        <w:tab/>
      </w:r>
      <w:r w:rsidRPr="007A1EDB">
        <w:rPr>
          <w:rFonts w:cs="Calibri"/>
          <w:sz w:val="20"/>
          <w:lang w:val="en-GB"/>
        </w:rPr>
        <w:tab/>
      </w:r>
    </w:p>
    <w:p w14:paraId="6446D8C4" w14:textId="77777777" w:rsidR="001F43BC" w:rsidRDefault="00885344" w:rsidP="001F43BC">
      <w:pPr>
        <w:pStyle w:val="ListParagraph"/>
        <w:numPr>
          <w:ilvl w:val="0"/>
          <w:numId w:val="4"/>
        </w:numPr>
        <w:tabs>
          <w:tab w:val="left" w:pos="-720"/>
          <w:tab w:val="left" w:pos="0"/>
        </w:tabs>
        <w:suppressAutoHyphens/>
        <w:spacing w:after="0" w:line="240" w:lineRule="auto"/>
        <w:ind w:hanging="720"/>
        <w:jc w:val="both"/>
        <w:rPr>
          <w:rFonts w:cs="Calibri"/>
          <w:sz w:val="20"/>
          <w:lang w:val="en-GB"/>
        </w:rPr>
      </w:pPr>
      <w:r>
        <w:rPr>
          <w:rFonts w:cs="Calibri"/>
          <w:sz w:val="20"/>
          <w:lang w:val="en-GB"/>
        </w:rPr>
        <w:t xml:space="preserve">General and administrative expenses, </w:t>
      </w:r>
      <w:r w:rsidR="005018AB">
        <w:rPr>
          <w:rFonts w:cs="Calibri"/>
          <w:sz w:val="20"/>
          <w:lang w:val="en-GB"/>
        </w:rPr>
        <w:t>for the purpose of calculating dividends</w:t>
      </w:r>
      <w:r>
        <w:rPr>
          <w:rFonts w:cs="Calibri"/>
          <w:sz w:val="20"/>
          <w:lang w:val="en-GB"/>
        </w:rPr>
        <w:t>,</w:t>
      </w:r>
      <w:r w:rsidR="005018AB">
        <w:rPr>
          <w:rFonts w:cs="Calibri"/>
          <w:sz w:val="20"/>
          <w:lang w:val="en-GB"/>
        </w:rPr>
        <w:t xml:space="preserve"> </w:t>
      </w:r>
      <w:r>
        <w:rPr>
          <w:rFonts w:cs="Calibri"/>
          <w:sz w:val="20"/>
          <w:lang w:val="en-GB"/>
        </w:rPr>
        <w:t>exclude non-cash items.</w:t>
      </w:r>
    </w:p>
    <w:p w14:paraId="0CF6D3F6" w14:textId="77777777" w:rsidR="00F940D5" w:rsidRDefault="00F940D5" w:rsidP="00F940D5">
      <w:pPr>
        <w:pStyle w:val="ListParagraph"/>
        <w:tabs>
          <w:tab w:val="left" w:pos="-720"/>
          <w:tab w:val="left" w:pos="0"/>
        </w:tabs>
        <w:suppressAutoHyphens/>
        <w:spacing w:after="0" w:line="240" w:lineRule="auto"/>
        <w:jc w:val="both"/>
        <w:rPr>
          <w:rFonts w:cs="Calibri"/>
          <w:sz w:val="20"/>
          <w:lang w:val="en-GB"/>
        </w:rPr>
      </w:pPr>
    </w:p>
    <w:p w14:paraId="742E4866" w14:textId="77777777" w:rsidR="001F43BC" w:rsidRDefault="00885344" w:rsidP="00480F2F">
      <w:pPr>
        <w:pStyle w:val="ListParagraph"/>
        <w:numPr>
          <w:ilvl w:val="0"/>
          <w:numId w:val="4"/>
        </w:numPr>
        <w:tabs>
          <w:tab w:val="left" w:pos="-720"/>
          <w:tab w:val="left" w:pos="0"/>
        </w:tabs>
        <w:suppressAutoHyphens/>
        <w:spacing w:after="0" w:line="240" w:lineRule="auto"/>
        <w:ind w:hanging="720"/>
        <w:jc w:val="both"/>
        <w:rPr>
          <w:rFonts w:cs="Calibri"/>
          <w:sz w:val="20"/>
          <w:lang w:val="en-GB"/>
        </w:rPr>
      </w:pPr>
      <w:r w:rsidRPr="00480F2F">
        <w:rPr>
          <w:rFonts w:cs="Calibri"/>
          <w:sz w:val="20"/>
          <w:lang w:val="en-GB"/>
        </w:rPr>
        <w:t xml:space="preserve">Replacement </w:t>
      </w:r>
      <w:r w:rsidR="00BC3F99" w:rsidRPr="00480F2F">
        <w:rPr>
          <w:rFonts w:cs="Calibri"/>
          <w:sz w:val="20"/>
          <w:lang w:val="en-GB"/>
        </w:rPr>
        <w:t>r</w:t>
      </w:r>
      <w:r w:rsidRPr="00480F2F">
        <w:rPr>
          <w:rFonts w:cs="Calibri"/>
          <w:sz w:val="20"/>
          <w:lang w:val="en-GB"/>
        </w:rPr>
        <w:t xml:space="preserve">eserves reflect the </w:t>
      </w:r>
      <w:r w:rsidR="00F04106">
        <w:rPr>
          <w:rFonts w:cs="Calibri"/>
          <w:sz w:val="20"/>
          <w:lang w:val="en-GB"/>
        </w:rPr>
        <w:t xml:space="preserve">aggregate </w:t>
      </w:r>
      <w:r>
        <w:rPr>
          <w:rFonts w:cs="Calibri"/>
          <w:sz w:val="20"/>
          <w:lang w:val="en-GB"/>
        </w:rPr>
        <w:t>annual amount of cash that the C</w:t>
      </w:r>
      <w:r w:rsidRPr="00480F2F">
        <w:rPr>
          <w:rFonts w:cs="Calibri"/>
          <w:sz w:val="20"/>
          <w:lang w:val="en-GB"/>
        </w:rPr>
        <w:t xml:space="preserve">ompany retains to fund the replacement of each of its vessels. In addition to the replacement reserve retained and reinvested at a certain </w:t>
      </w:r>
      <w:r w:rsidR="000D052B">
        <w:rPr>
          <w:rFonts w:cs="Calibri"/>
          <w:sz w:val="20"/>
          <w:lang w:val="en-GB"/>
        </w:rPr>
        <w:t xml:space="preserve">annual </w:t>
      </w:r>
      <w:r w:rsidRPr="00480F2F">
        <w:rPr>
          <w:rFonts w:cs="Calibri"/>
          <w:sz w:val="20"/>
          <w:lang w:val="en-GB"/>
        </w:rPr>
        <w:t xml:space="preserve">rate or </w:t>
      </w:r>
      <w:r>
        <w:rPr>
          <w:rFonts w:cs="Calibri"/>
          <w:sz w:val="20"/>
          <w:lang w:val="en-GB"/>
        </w:rPr>
        <w:t>equivalent debt repayment, the C</w:t>
      </w:r>
      <w:r w:rsidRPr="00480F2F">
        <w:rPr>
          <w:rFonts w:cs="Calibri"/>
          <w:sz w:val="20"/>
          <w:lang w:val="en-GB"/>
        </w:rPr>
        <w:t xml:space="preserve">ompany </w:t>
      </w:r>
      <w:r w:rsidR="00254CEB">
        <w:rPr>
          <w:rFonts w:cs="Calibri"/>
          <w:sz w:val="20"/>
          <w:lang w:val="en-GB"/>
        </w:rPr>
        <w:t>estimates</w:t>
      </w:r>
      <w:r w:rsidRPr="00480F2F">
        <w:rPr>
          <w:rFonts w:cs="Calibri"/>
          <w:sz w:val="20"/>
          <w:lang w:val="en-GB"/>
        </w:rPr>
        <w:t xml:space="preserve"> at the </w:t>
      </w:r>
      <w:r w:rsidR="00394050">
        <w:rPr>
          <w:rFonts w:cs="Calibri"/>
          <w:sz w:val="20"/>
          <w:lang w:val="en-GB"/>
        </w:rPr>
        <w:t xml:space="preserve">specific </w:t>
      </w:r>
      <w:r w:rsidRPr="00480F2F">
        <w:rPr>
          <w:rFonts w:cs="Calibri"/>
          <w:sz w:val="20"/>
          <w:lang w:val="en-GB"/>
        </w:rPr>
        <w:t>expected replacement date to utilize funds from the proceeds of the scrap value of the vessels and the assumption of a modest level of debt to purchase the replacement vessel assuming suc</w:t>
      </w:r>
      <w:r w:rsidR="00394050">
        <w:rPr>
          <w:rFonts w:cs="Calibri"/>
          <w:sz w:val="20"/>
          <w:lang w:val="en-GB"/>
        </w:rPr>
        <w:t>h replacement is for a ten-year-</w:t>
      </w:r>
      <w:r w:rsidRPr="00480F2F">
        <w:rPr>
          <w:rFonts w:cs="Calibri"/>
          <w:sz w:val="20"/>
          <w:lang w:val="en-GB"/>
        </w:rPr>
        <w:t>old vessel at</w:t>
      </w:r>
      <w:r>
        <w:rPr>
          <w:rFonts w:cs="Calibri"/>
          <w:sz w:val="20"/>
          <w:lang w:val="en-GB"/>
        </w:rPr>
        <w:t xml:space="preserve"> the ten-year</w:t>
      </w:r>
      <w:r w:rsidRPr="00480F2F">
        <w:rPr>
          <w:rFonts w:cs="Calibri"/>
          <w:sz w:val="20"/>
          <w:lang w:val="en-GB"/>
        </w:rPr>
        <w:t xml:space="preserve"> historica</w:t>
      </w:r>
      <w:r w:rsidR="00BC3F99" w:rsidRPr="00480F2F">
        <w:rPr>
          <w:rFonts w:cs="Calibri"/>
          <w:sz w:val="20"/>
          <w:lang w:val="en-GB"/>
        </w:rPr>
        <w:t xml:space="preserve">l mid-cycle value. </w:t>
      </w:r>
    </w:p>
    <w:p w14:paraId="2E9C6E90" w14:textId="77777777" w:rsidR="00480F2F" w:rsidRPr="00480F2F" w:rsidRDefault="00480F2F" w:rsidP="00480F2F">
      <w:pPr>
        <w:pStyle w:val="ListParagraph"/>
        <w:rPr>
          <w:rFonts w:cs="Calibri"/>
          <w:sz w:val="20"/>
          <w:lang w:val="en-GB"/>
        </w:rPr>
      </w:pPr>
    </w:p>
    <w:p w14:paraId="424A4761" w14:textId="77777777" w:rsidR="004063E7" w:rsidRPr="00480F2F" w:rsidRDefault="00885344" w:rsidP="00480F2F">
      <w:pPr>
        <w:pStyle w:val="ListParagraph"/>
        <w:numPr>
          <w:ilvl w:val="0"/>
          <w:numId w:val="4"/>
        </w:numPr>
        <w:tabs>
          <w:tab w:val="left" w:pos="-720"/>
          <w:tab w:val="left" w:pos="0"/>
        </w:tabs>
        <w:suppressAutoHyphens/>
        <w:spacing w:after="0" w:line="240" w:lineRule="auto"/>
        <w:ind w:hanging="720"/>
        <w:jc w:val="both"/>
        <w:rPr>
          <w:rFonts w:cs="Calibri"/>
          <w:sz w:val="20"/>
          <w:lang w:val="en-GB"/>
        </w:rPr>
      </w:pPr>
      <w:r w:rsidRPr="00480F2F">
        <w:rPr>
          <w:rFonts w:cs="Calibri"/>
          <w:sz w:val="20"/>
          <w:lang w:val="en-GB"/>
        </w:rPr>
        <w:t>Maintenance r</w:t>
      </w:r>
      <w:r w:rsidR="001A0DEF" w:rsidRPr="00480F2F">
        <w:rPr>
          <w:rFonts w:cs="Calibri"/>
          <w:sz w:val="20"/>
          <w:lang w:val="en-GB"/>
        </w:rPr>
        <w:t>eserves are based on an estimated cost for the drydock, intermediate and special surveys of the vessels in our fleet over the recurring statutory five</w:t>
      </w:r>
      <w:r>
        <w:rPr>
          <w:rFonts w:cs="Calibri"/>
          <w:sz w:val="20"/>
          <w:lang w:val="en-GB"/>
        </w:rPr>
        <w:t>-</w:t>
      </w:r>
      <w:r w:rsidR="001A0DEF" w:rsidRPr="00480F2F">
        <w:rPr>
          <w:rFonts w:cs="Calibri"/>
          <w:sz w:val="20"/>
          <w:lang w:val="en-GB"/>
        </w:rPr>
        <w:t>year survey period. They are used, instead of actual maintenance costs when incurred, for purposes of calculating</w:t>
      </w:r>
      <w:r>
        <w:rPr>
          <w:rFonts w:cs="Calibri"/>
          <w:sz w:val="20"/>
          <w:lang w:val="en-GB"/>
        </w:rPr>
        <w:t xml:space="preserve"> the quarterly dividend </w:t>
      </w:r>
      <w:r w:rsidR="001A0DEF" w:rsidRPr="00480F2F">
        <w:rPr>
          <w:rFonts w:cs="Calibri"/>
          <w:sz w:val="20"/>
          <w:lang w:val="en-GB"/>
        </w:rPr>
        <w:t xml:space="preserve">to remove the additional cash flow variability during quarters that drydocks occur. </w:t>
      </w:r>
    </w:p>
    <w:p w14:paraId="36A12F80" w14:textId="77777777" w:rsidR="00E37DCD" w:rsidRPr="004063E7" w:rsidRDefault="00E37DCD" w:rsidP="004063E7">
      <w:pPr>
        <w:tabs>
          <w:tab w:val="left" w:pos="-720"/>
          <w:tab w:val="left" w:pos="0"/>
        </w:tabs>
        <w:suppressAutoHyphens/>
        <w:spacing w:after="0" w:line="240" w:lineRule="auto"/>
        <w:jc w:val="both"/>
        <w:rPr>
          <w:rFonts w:cs="Calibri"/>
          <w:sz w:val="20"/>
          <w:lang w:val="en-GB"/>
        </w:rPr>
      </w:pPr>
    </w:p>
    <w:p w14:paraId="60A8247B" w14:textId="77777777" w:rsidR="00E37DCD" w:rsidRDefault="00E37DCD" w:rsidP="00E37DCD">
      <w:pPr>
        <w:pStyle w:val="ListParagraph"/>
        <w:tabs>
          <w:tab w:val="left" w:pos="-720"/>
          <w:tab w:val="left" w:pos="0"/>
        </w:tabs>
        <w:suppressAutoHyphens/>
        <w:spacing w:after="0" w:line="240" w:lineRule="auto"/>
        <w:jc w:val="both"/>
        <w:rPr>
          <w:rFonts w:cs="Calibri"/>
          <w:sz w:val="20"/>
          <w:lang w:val="en-GB"/>
        </w:rPr>
      </w:pPr>
    </w:p>
    <w:sectPr w:rsidR="00E37DCD" w:rsidSect="00C55602">
      <w:headerReference w:type="even" r:id="rId8"/>
      <w:headerReference w:type="default" r:id="rId9"/>
      <w:footerReference w:type="even" r:id="rId10"/>
      <w:footerReference w:type="default" r:id="rId11"/>
      <w:type w:val="continuous"/>
      <w:pgSz w:w="12240" w:h="15840"/>
      <w:pgMar w:top="720" w:right="720" w:bottom="720" w:left="720" w:header="720" w:footer="720"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B617C" w14:textId="77777777" w:rsidR="00215F77" w:rsidRDefault="00215F77">
      <w:pPr>
        <w:spacing w:after="0" w:line="240" w:lineRule="auto"/>
      </w:pPr>
      <w:r>
        <w:separator/>
      </w:r>
    </w:p>
  </w:endnote>
  <w:endnote w:type="continuationSeparator" w:id="0">
    <w:p w14:paraId="09630094" w14:textId="77777777" w:rsidR="00215F77" w:rsidRDefault="0021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CADF" w14:textId="77777777" w:rsidR="00E40035" w:rsidRPr="00325C7D" w:rsidRDefault="00885344" w:rsidP="00325C7D">
    <w:pPr>
      <w:pBdr>
        <w:top w:val="single" w:sz="4" w:space="1" w:color="auto"/>
        <w:left w:val="nil"/>
        <w:bottom w:val="nil"/>
        <w:right w:val="nil"/>
        <w:between w:val="nil"/>
        <w:bar w:val="nil"/>
      </w:pBdr>
      <w:jc w:val="center"/>
      <w:rPr>
        <w:rFonts w:cs="Calibri"/>
        <w:bdr w:val="nil"/>
      </w:rPr>
    </w:pPr>
    <w:r>
      <w:rPr>
        <w:rFonts w:cs="Calibri"/>
        <w:bdr w:val="nil"/>
      </w:rPr>
      <w:fldChar w:fldCharType="begin"/>
    </w:r>
    <w:r>
      <w:rPr>
        <w:rFonts w:cs="Calibri"/>
        <w:bdr w:val="nil"/>
      </w:rPr>
      <w:instrText xml:space="preserve"> PAGE  \* Arabic  \* MERGEFORMAT </w:instrText>
    </w:r>
    <w:r>
      <w:rPr>
        <w:rFonts w:cs="Calibri"/>
        <w:bdr w:val="nil"/>
      </w:rPr>
      <w:fldChar w:fldCharType="separate"/>
    </w:r>
    <w:r>
      <w:rPr>
        <w:rFonts w:cs="Calibri"/>
        <w:noProof/>
        <w:bdr w:val="nil"/>
      </w:rPr>
      <w:t>1</w:t>
    </w:r>
    <w:r>
      <w:rPr>
        <w:rFonts w:cs="Calibri"/>
        <w:bdr w:val="ni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B4DA5" w14:textId="77777777" w:rsidR="00E40035" w:rsidRPr="00325C7D" w:rsidRDefault="00885344" w:rsidP="00325C7D">
    <w:pPr>
      <w:pBdr>
        <w:top w:val="single" w:sz="4" w:space="1" w:color="auto"/>
        <w:left w:val="nil"/>
        <w:bottom w:val="nil"/>
        <w:right w:val="nil"/>
        <w:between w:val="nil"/>
        <w:bar w:val="nil"/>
      </w:pBdr>
      <w:jc w:val="center"/>
      <w:rPr>
        <w:rFonts w:cs="Calibri"/>
        <w:bdr w:val="nil"/>
      </w:rPr>
    </w:pPr>
    <w:r>
      <w:rPr>
        <w:rFonts w:cs="Calibri"/>
        <w:bdr w:val="nil"/>
      </w:rPr>
      <w:fldChar w:fldCharType="begin"/>
    </w:r>
    <w:r>
      <w:rPr>
        <w:rFonts w:cs="Calibri"/>
        <w:bdr w:val="nil"/>
      </w:rPr>
      <w:instrText xml:space="preserve"> PAGE  \* Arabic  \* MERGEFORMAT </w:instrText>
    </w:r>
    <w:r>
      <w:rPr>
        <w:rFonts w:cs="Calibri"/>
        <w:bdr w:val="nil"/>
      </w:rPr>
      <w:fldChar w:fldCharType="separate"/>
    </w:r>
    <w:r w:rsidR="00EF096F">
      <w:rPr>
        <w:rFonts w:cs="Calibri"/>
        <w:noProof/>
        <w:bdr w:val="nil"/>
      </w:rPr>
      <w:t>4</w:t>
    </w:r>
    <w:r>
      <w:rPr>
        <w:rFonts w:cs="Calibri"/>
        <w:bdr w:val="ni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6C06" w14:textId="77777777" w:rsidR="00215F77" w:rsidRDefault="00215F77">
      <w:pPr>
        <w:spacing w:after="0" w:line="240" w:lineRule="auto"/>
      </w:pPr>
      <w:r>
        <w:separator/>
      </w:r>
    </w:p>
  </w:footnote>
  <w:footnote w:type="continuationSeparator" w:id="0">
    <w:p w14:paraId="34FDD0C2" w14:textId="77777777" w:rsidR="00215F77" w:rsidRDefault="00215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5A80" w14:textId="77777777" w:rsidR="00B101BD" w:rsidRDefault="00B101BD">
    <w:pPr>
      <w:suppressLineNumbers/>
      <w:spacing w:after="0" w:line="14" w:lineRule="exact"/>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F50A" w14:textId="77777777" w:rsidR="00B101BD" w:rsidRDefault="00B101BD">
    <w:pPr>
      <w:suppressLineNumbers/>
      <w:spacing w:after="0" w:line="14" w:lineRule="exact"/>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F0E34"/>
    <w:multiLevelType w:val="hybridMultilevel"/>
    <w:tmpl w:val="55A65A5E"/>
    <w:lvl w:ilvl="0" w:tplc="7946DA10">
      <w:start w:val="1"/>
      <w:numFmt w:val="decimal"/>
      <w:lvlText w:val="(%1)"/>
      <w:lvlJc w:val="left"/>
      <w:pPr>
        <w:ind w:left="720" w:hanging="360"/>
      </w:pPr>
      <w:rPr>
        <w:rFonts w:cs="Calibri" w:hint="default"/>
        <w:sz w:val="20"/>
      </w:rPr>
    </w:lvl>
    <w:lvl w:ilvl="1" w:tplc="480A1B82" w:tentative="1">
      <w:start w:val="1"/>
      <w:numFmt w:val="lowerLetter"/>
      <w:lvlText w:val="%2."/>
      <w:lvlJc w:val="left"/>
      <w:pPr>
        <w:ind w:left="1440" w:hanging="360"/>
      </w:pPr>
    </w:lvl>
    <w:lvl w:ilvl="2" w:tplc="C0B8E67C" w:tentative="1">
      <w:start w:val="1"/>
      <w:numFmt w:val="lowerRoman"/>
      <w:lvlText w:val="%3."/>
      <w:lvlJc w:val="right"/>
      <w:pPr>
        <w:ind w:left="2160" w:hanging="180"/>
      </w:pPr>
    </w:lvl>
    <w:lvl w:ilvl="3" w:tplc="A45839B2" w:tentative="1">
      <w:start w:val="1"/>
      <w:numFmt w:val="decimal"/>
      <w:lvlText w:val="%4."/>
      <w:lvlJc w:val="left"/>
      <w:pPr>
        <w:ind w:left="2880" w:hanging="360"/>
      </w:pPr>
    </w:lvl>
    <w:lvl w:ilvl="4" w:tplc="B2BC7F7E" w:tentative="1">
      <w:start w:val="1"/>
      <w:numFmt w:val="lowerLetter"/>
      <w:lvlText w:val="%5."/>
      <w:lvlJc w:val="left"/>
      <w:pPr>
        <w:ind w:left="3600" w:hanging="360"/>
      </w:pPr>
    </w:lvl>
    <w:lvl w:ilvl="5" w:tplc="623889F6" w:tentative="1">
      <w:start w:val="1"/>
      <w:numFmt w:val="lowerRoman"/>
      <w:lvlText w:val="%6."/>
      <w:lvlJc w:val="right"/>
      <w:pPr>
        <w:ind w:left="4320" w:hanging="180"/>
      </w:pPr>
    </w:lvl>
    <w:lvl w:ilvl="6" w:tplc="217AB318" w:tentative="1">
      <w:start w:val="1"/>
      <w:numFmt w:val="decimal"/>
      <w:lvlText w:val="%7."/>
      <w:lvlJc w:val="left"/>
      <w:pPr>
        <w:ind w:left="5040" w:hanging="360"/>
      </w:pPr>
    </w:lvl>
    <w:lvl w:ilvl="7" w:tplc="27148DCC" w:tentative="1">
      <w:start w:val="1"/>
      <w:numFmt w:val="lowerLetter"/>
      <w:lvlText w:val="%8."/>
      <w:lvlJc w:val="left"/>
      <w:pPr>
        <w:ind w:left="5760" w:hanging="360"/>
      </w:pPr>
    </w:lvl>
    <w:lvl w:ilvl="8" w:tplc="6BBC6BE0" w:tentative="1">
      <w:start w:val="1"/>
      <w:numFmt w:val="lowerRoman"/>
      <w:lvlText w:val="%9."/>
      <w:lvlJc w:val="right"/>
      <w:pPr>
        <w:ind w:left="6480" w:hanging="180"/>
      </w:pPr>
    </w:lvl>
  </w:abstractNum>
  <w:abstractNum w:abstractNumId="1">
    <w:nsid w:val="3A8B2DC1"/>
    <w:multiLevelType w:val="hybridMultilevel"/>
    <w:tmpl w:val="14A42A9E"/>
    <w:lvl w:ilvl="0" w:tplc="6D20DE72">
      <w:start w:val="1"/>
      <w:numFmt w:val="bullet"/>
      <w:lvlText w:val=""/>
      <w:lvlJc w:val="left"/>
      <w:pPr>
        <w:ind w:left="720" w:hanging="360"/>
      </w:pPr>
      <w:rPr>
        <w:rFonts w:ascii="Symbol" w:hAnsi="Symbol" w:hint="default"/>
      </w:rPr>
    </w:lvl>
    <w:lvl w:ilvl="1" w:tplc="4D6CA0EA">
      <w:start w:val="1"/>
      <w:numFmt w:val="bullet"/>
      <w:lvlText w:val="o"/>
      <w:lvlJc w:val="left"/>
      <w:pPr>
        <w:ind w:left="1440" w:hanging="360"/>
      </w:pPr>
      <w:rPr>
        <w:rFonts w:ascii="Courier New" w:hAnsi="Courier New" w:cs="Courier New" w:hint="default"/>
      </w:rPr>
    </w:lvl>
    <w:lvl w:ilvl="2" w:tplc="D110EC6E">
      <w:start w:val="1"/>
      <w:numFmt w:val="bullet"/>
      <w:lvlText w:val=""/>
      <w:lvlJc w:val="left"/>
      <w:pPr>
        <w:ind w:left="2160" w:hanging="360"/>
      </w:pPr>
      <w:rPr>
        <w:rFonts w:ascii="Wingdings" w:hAnsi="Wingdings" w:hint="default"/>
      </w:rPr>
    </w:lvl>
    <w:lvl w:ilvl="3" w:tplc="BEAAF4DC">
      <w:start w:val="1"/>
      <w:numFmt w:val="bullet"/>
      <w:lvlText w:val=""/>
      <w:lvlJc w:val="left"/>
      <w:pPr>
        <w:ind w:left="2880" w:hanging="360"/>
      </w:pPr>
      <w:rPr>
        <w:rFonts w:ascii="Symbol" w:hAnsi="Symbol" w:hint="default"/>
      </w:rPr>
    </w:lvl>
    <w:lvl w:ilvl="4" w:tplc="43522E30">
      <w:start w:val="1"/>
      <w:numFmt w:val="bullet"/>
      <w:lvlText w:val="o"/>
      <w:lvlJc w:val="left"/>
      <w:pPr>
        <w:ind w:left="3600" w:hanging="360"/>
      </w:pPr>
      <w:rPr>
        <w:rFonts w:ascii="Courier New" w:hAnsi="Courier New" w:cs="Courier New" w:hint="default"/>
      </w:rPr>
    </w:lvl>
    <w:lvl w:ilvl="5" w:tplc="3B8006C8">
      <w:start w:val="1"/>
      <w:numFmt w:val="bullet"/>
      <w:lvlText w:val=""/>
      <w:lvlJc w:val="left"/>
      <w:pPr>
        <w:ind w:left="4320" w:hanging="360"/>
      </w:pPr>
      <w:rPr>
        <w:rFonts w:ascii="Wingdings" w:hAnsi="Wingdings" w:hint="default"/>
      </w:rPr>
    </w:lvl>
    <w:lvl w:ilvl="6" w:tplc="A160552E">
      <w:start w:val="1"/>
      <w:numFmt w:val="bullet"/>
      <w:lvlText w:val=""/>
      <w:lvlJc w:val="left"/>
      <w:pPr>
        <w:ind w:left="5040" w:hanging="360"/>
      </w:pPr>
      <w:rPr>
        <w:rFonts w:ascii="Symbol" w:hAnsi="Symbol" w:hint="default"/>
      </w:rPr>
    </w:lvl>
    <w:lvl w:ilvl="7" w:tplc="53F8C6AE">
      <w:start w:val="1"/>
      <w:numFmt w:val="bullet"/>
      <w:lvlText w:val="o"/>
      <w:lvlJc w:val="left"/>
      <w:pPr>
        <w:ind w:left="5760" w:hanging="360"/>
      </w:pPr>
      <w:rPr>
        <w:rFonts w:ascii="Courier New" w:hAnsi="Courier New" w:cs="Courier New" w:hint="default"/>
      </w:rPr>
    </w:lvl>
    <w:lvl w:ilvl="8" w:tplc="91B8E0A8">
      <w:start w:val="1"/>
      <w:numFmt w:val="bullet"/>
      <w:lvlText w:val=""/>
      <w:lvlJc w:val="left"/>
      <w:pPr>
        <w:ind w:left="6480" w:hanging="360"/>
      </w:pPr>
      <w:rPr>
        <w:rFonts w:ascii="Wingdings" w:hAnsi="Wingdings" w:hint="default"/>
      </w:rPr>
    </w:lvl>
  </w:abstractNum>
  <w:abstractNum w:abstractNumId="2">
    <w:nsid w:val="6356A443"/>
    <w:multiLevelType w:val="hybridMultilevel"/>
    <w:tmpl w:val="55A65A5E"/>
    <w:lvl w:ilvl="0" w:tplc="0C800070">
      <w:start w:val="1"/>
      <w:numFmt w:val="decimal"/>
      <w:lvlText w:val="(%1)"/>
      <w:lvlJc w:val="left"/>
      <w:pPr>
        <w:ind w:left="720" w:hanging="360"/>
      </w:pPr>
      <w:rPr>
        <w:rFonts w:cs="Calibri" w:hint="default"/>
        <w:sz w:val="20"/>
      </w:rPr>
    </w:lvl>
    <w:lvl w:ilvl="1" w:tplc="4A66B206" w:tentative="1">
      <w:start w:val="1"/>
      <w:numFmt w:val="lowerLetter"/>
      <w:lvlText w:val="%2."/>
      <w:lvlJc w:val="left"/>
      <w:pPr>
        <w:ind w:left="1440" w:hanging="360"/>
      </w:pPr>
    </w:lvl>
    <w:lvl w:ilvl="2" w:tplc="38487158" w:tentative="1">
      <w:start w:val="1"/>
      <w:numFmt w:val="lowerRoman"/>
      <w:lvlText w:val="%3."/>
      <w:lvlJc w:val="right"/>
      <w:pPr>
        <w:ind w:left="2160" w:hanging="180"/>
      </w:pPr>
    </w:lvl>
    <w:lvl w:ilvl="3" w:tplc="BBEE46B0" w:tentative="1">
      <w:start w:val="1"/>
      <w:numFmt w:val="decimal"/>
      <w:lvlText w:val="%4."/>
      <w:lvlJc w:val="left"/>
      <w:pPr>
        <w:ind w:left="2880" w:hanging="360"/>
      </w:pPr>
    </w:lvl>
    <w:lvl w:ilvl="4" w:tplc="37E00CE8" w:tentative="1">
      <w:start w:val="1"/>
      <w:numFmt w:val="lowerLetter"/>
      <w:lvlText w:val="%5."/>
      <w:lvlJc w:val="left"/>
      <w:pPr>
        <w:ind w:left="3600" w:hanging="360"/>
      </w:pPr>
    </w:lvl>
    <w:lvl w:ilvl="5" w:tplc="5CDE3FB4" w:tentative="1">
      <w:start w:val="1"/>
      <w:numFmt w:val="lowerRoman"/>
      <w:lvlText w:val="%6."/>
      <w:lvlJc w:val="right"/>
      <w:pPr>
        <w:ind w:left="4320" w:hanging="180"/>
      </w:pPr>
    </w:lvl>
    <w:lvl w:ilvl="6" w:tplc="585AECA8" w:tentative="1">
      <w:start w:val="1"/>
      <w:numFmt w:val="decimal"/>
      <w:lvlText w:val="%7."/>
      <w:lvlJc w:val="left"/>
      <w:pPr>
        <w:ind w:left="5040" w:hanging="360"/>
      </w:pPr>
    </w:lvl>
    <w:lvl w:ilvl="7" w:tplc="B15C9416" w:tentative="1">
      <w:start w:val="1"/>
      <w:numFmt w:val="lowerLetter"/>
      <w:lvlText w:val="%8."/>
      <w:lvlJc w:val="left"/>
      <w:pPr>
        <w:ind w:left="5760" w:hanging="360"/>
      </w:pPr>
    </w:lvl>
    <w:lvl w:ilvl="8" w:tplc="8CF2C18E" w:tentative="1">
      <w:start w:val="1"/>
      <w:numFmt w:val="lowerRoman"/>
      <w:lvlText w:val="%9."/>
      <w:lvlJc w:val="right"/>
      <w:pPr>
        <w:ind w:left="6480" w:hanging="180"/>
      </w:pPr>
    </w:lvl>
  </w:abstractNum>
  <w:abstractNum w:abstractNumId="3">
    <w:nsid w:val="71EE11A6"/>
    <w:multiLevelType w:val="hybridMultilevel"/>
    <w:tmpl w:val="8FB8337A"/>
    <w:lvl w:ilvl="0" w:tplc="04C2CA56">
      <w:start w:val="1"/>
      <w:numFmt w:val="bullet"/>
      <w:lvlText w:val=""/>
      <w:lvlJc w:val="left"/>
      <w:pPr>
        <w:ind w:left="720" w:hanging="360"/>
      </w:pPr>
      <w:rPr>
        <w:rFonts w:ascii="Symbol" w:hAnsi="Symbol" w:hint="default"/>
      </w:rPr>
    </w:lvl>
    <w:lvl w:ilvl="1" w:tplc="EDFC8A06">
      <w:start w:val="1"/>
      <w:numFmt w:val="bullet"/>
      <w:lvlText w:val="o"/>
      <w:lvlJc w:val="left"/>
      <w:pPr>
        <w:ind w:left="1440" w:hanging="360"/>
      </w:pPr>
      <w:rPr>
        <w:rFonts w:ascii="Courier New" w:hAnsi="Courier New" w:cs="Courier New" w:hint="default"/>
      </w:rPr>
    </w:lvl>
    <w:lvl w:ilvl="2" w:tplc="A8AEBBA0">
      <w:start w:val="1"/>
      <w:numFmt w:val="bullet"/>
      <w:lvlText w:val=""/>
      <w:lvlJc w:val="left"/>
      <w:pPr>
        <w:ind w:left="2160" w:hanging="360"/>
      </w:pPr>
      <w:rPr>
        <w:rFonts w:ascii="Wingdings" w:hAnsi="Wingdings" w:hint="default"/>
      </w:rPr>
    </w:lvl>
    <w:lvl w:ilvl="3" w:tplc="89F03E78">
      <w:start w:val="1"/>
      <w:numFmt w:val="bullet"/>
      <w:lvlText w:val=""/>
      <w:lvlJc w:val="left"/>
      <w:pPr>
        <w:ind w:left="2880" w:hanging="360"/>
      </w:pPr>
      <w:rPr>
        <w:rFonts w:ascii="Symbol" w:hAnsi="Symbol" w:hint="default"/>
      </w:rPr>
    </w:lvl>
    <w:lvl w:ilvl="4" w:tplc="F37675D8">
      <w:start w:val="1"/>
      <w:numFmt w:val="bullet"/>
      <w:lvlText w:val="o"/>
      <w:lvlJc w:val="left"/>
      <w:pPr>
        <w:ind w:left="3600" w:hanging="360"/>
      </w:pPr>
      <w:rPr>
        <w:rFonts w:ascii="Courier New" w:hAnsi="Courier New" w:cs="Courier New" w:hint="default"/>
      </w:rPr>
    </w:lvl>
    <w:lvl w:ilvl="5" w:tplc="68F05CF4">
      <w:start w:val="1"/>
      <w:numFmt w:val="bullet"/>
      <w:lvlText w:val=""/>
      <w:lvlJc w:val="left"/>
      <w:pPr>
        <w:ind w:left="4320" w:hanging="360"/>
      </w:pPr>
      <w:rPr>
        <w:rFonts w:ascii="Wingdings" w:hAnsi="Wingdings" w:hint="default"/>
      </w:rPr>
    </w:lvl>
    <w:lvl w:ilvl="6" w:tplc="6746841E">
      <w:start w:val="1"/>
      <w:numFmt w:val="bullet"/>
      <w:lvlText w:val=""/>
      <w:lvlJc w:val="left"/>
      <w:pPr>
        <w:ind w:left="5040" w:hanging="360"/>
      </w:pPr>
      <w:rPr>
        <w:rFonts w:ascii="Symbol" w:hAnsi="Symbol" w:hint="default"/>
      </w:rPr>
    </w:lvl>
    <w:lvl w:ilvl="7" w:tplc="F490EE96">
      <w:start w:val="1"/>
      <w:numFmt w:val="bullet"/>
      <w:lvlText w:val="o"/>
      <w:lvlJc w:val="left"/>
      <w:pPr>
        <w:ind w:left="5760" w:hanging="360"/>
      </w:pPr>
      <w:rPr>
        <w:rFonts w:ascii="Courier New" w:hAnsi="Courier New" w:cs="Courier New" w:hint="default"/>
      </w:rPr>
    </w:lvl>
    <w:lvl w:ilvl="8" w:tplc="B890044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DE"/>
    <w:rsid w:val="00000599"/>
    <w:rsid w:val="000006D9"/>
    <w:rsid w:val="0001605A"/>
    <w:rsid w:val="000211FA"/>
    <w:rsid w:val="00025225"/>
    <w:rsid w:val="0002581B"/>
    <w:rsid w:val="0002745B"/>
    <w:rsid w:val="000274E0"/>
    <w:rsid w:val="00035FE5"/>
    <w:rsid w:val="0003691E"/>
    <w:rsid w:val="00051009"/>
    <w:rsid w:val="000512BA"/>
    <w:rsid w:val="00056535"/>
    <w:rsid w:val="00056D76"/>
    <w:rsid w:val="00057A1E"/>
    <w:rsid w:val="000604A9"/>
    <w:rsid w:val="00063EE7"/>
    <w:rsid w:val="0007366A"/>
    <w:rsid w:val="0008099D"/>
    <w:rsid w:val="000A1807"/>
    <w:rsid w:val="000A23EE"/>
    <w:rsid w:val="000A2F9A"/>
    <w:rsid w:val="000A7ABE"/>
    <w:rsid w:val="000B5D6F"/>
    <w:rsid w:val="000C50A2"/>
    <w:rsid w:val="000D052B"/>
    <w:rsid w:val="000E1180"/>
    <w:rsid w:val="000E70C7"/>
    <w:rsid w:val="000F18BD"/>
    <w:rsid w:val="000F1F05"/>
    <w:rsid w:val="0010274F"/>
    <w:rsid w:val="0010334C"/>
    <w:rsid w:val="0010474D"/>
    <w:rsid w:val="00105276"/>
    <w:rsid w:val="00113AD1"/>
    <w:rsid w:val="00124180"/>
    <w:rsid w:val="00127902"/>
    <w:rsid w:val="00132720"/>
    <w:rsid w:val="00135ACB"/>
    <w:rsid w:val="0013625F"/>
    <w:rsid w:val="00156B3A"/>
    <w:rsid w:val="00164D01"/>
    <w:rsid w:val="00170F86"/>
    <w:rsid w:val="00176B8C"/>
    <w:rsid w:val="00193108"/>
    <w:rsid w:val="001A0DEF"/>
    <w:rsid w:val="001A1668"/>
    <w:rsid w:val="001B1F07"/>
    <w:rsid w:val="001B3181"/>
    <w:rsid w:val="001B5120"/>
    <w:rsid w:val="001B7402"/>
    <w:rsid w:val="001C6D48"/>
    <w:rsid w:val="001C7A73"/>
    <w:rsid w:val="001D03CE"/>
    <w:rsid w:val="001D09A6"/>
    <w:rsid w:val="001D4FC4"/>
    <w:rsid w:val="001D64F5"/>
    <w:rsid w:val="001F04D7"/>
    <w:rsid w:val="001F39FE"/>
    <w:rsid w:val="001F43BC"/>
    <w:rsid w:val="001F67FF"/>
    <w:rsid w:val="00203168"/>
    <w:rsid w:val="00203778"/>
    <w:rsid w:val="00211247"/>
    <w:rsid w:val="0021165B"/>
    <w:rsid w:val="00213B72"/>
    <w:rsid w:val="00215ECE"/>
    <w:rsid w:val="00215F77"/>
    <w:rsid w:val="002277FF"/>
    <w:rsid w:val="00230022"/>
    <w:rsid w:val="00232677"/>
    <w:rsid w:val="0024014E"/>
    <w:rsid w:val="00246B53"/>
    <w:rsid w:val="00252EFD"/>
    <w:rsid w:val="00254CEB"/>
    <w:rsid w:val="002607F2"/>
    <w:rsid w:val="0026630A"/>
    <w:rsid w:val="0028139C"/>
    <w:rsid w:val="002914C3"/>
    <w:rsid w:val="002920E9"/>
    <w:rsid w:val="002A37E6"/>
    <w:rsid w:val="002B2AD4"/>
    <w:rsid w:val="002B59A7"/>
    <w:rsid w:val="002C1003"/>
    <w:rsid w:val="002E146A"/>
    <w:rsid w:val="002E33A1"/>
    <w:rsid w:val="002E55DD"/>
    <w:rsid w:val="002E66CA"/>
    <w:rsid w:val="002F0860"/>
    <w:rsid w:val="002F0D05"/>
    <w:rsid w:val="002F6B6F"/>
    <w:rsid w:val="00306F83"/>
    <w:rsid w:val="00310592"/>
    <w:rsid w:val="00314B5E"/>
    <w:rsid w:val="00315952"/>
    <w:rsid w:val="00325C7D"/>
    <w:rsid w:val="003277BB"/>
    <w:rsid w:val="0033661E"/>
    <w:rsid w:val="00336B19"/>
    <w:rsid w:val="00347B3F"/>
    <w:rsid w:val="00355B09"/>
    <w:rsid w:val="00363636"/>
    <w:rsid w:val="00366FA5"/>
    <w:rsid w:val="00377EE3"/>
    <w:rsid w:val="00380165"/>
    <w:rsid w:val="00384028"/>
    <w:rsid w:val="00394050"/>
    <w:rsid w:val="003A696D"/>
    <w:rsid w:val="003B7068"/>
    <w:rsid w:val="003B7F69"/>
    <w:rsid w:val="003C253A"/>
    <w:rsid w:val="003C7962"/>
    <w:rsid w:val="003C7B19"/>
    <w:rsid w:val="003E2E48"/>
    <w:rsid w:val="003E3298"/>
    <w:rsid w:val="003F133C"/>
    <w:rsid w:val="003F1E29"/>
    <w:rsid w:val="003F2675"/>
    <w:rsid w:val="003F4C7C"/>
    <w:rsid w:val="003F6911"/>
    <w:rsid w:val="00401E49"/>
    <w:rsid w:val="0040634A"/>
    <w:rsid w:val="004063E7"/>
    <w:rsid w:val="00412511"/>
    <w:rsid w:val="00415112"/>
    <w:rsid w:val="00415DAD"/>
    <w:rsid w:val="0042119D"/>
    <w:rsid w:val="00434C50"/>
    <w:rsid w:val="00434F2F"/>
    <w:rsid w:val="0043592B"/>
    <w:rsid w:val="0044206D"/>
    <w:rsid w:val="004519CB"/>
    <w:rsid w:val="00456147"/>
    <w:rsid w:val="00461BBF"/>
    <w:rsid w:val="004641A2"/>
    <w:rsid w:val="004659F8"/>
    <w:rsid w:val="00467FB1"/>
    <w:rsid w:val="0047391A"/>
    <w:rsid w:val="00480F2F"/>
    <w:rsid w:val="004875E7"/>
    <w:rsid w:val="0049268E"/>
    <w:rsid w:val="00494047"/>
    <w:rsid w:val="004A1DC8"/>
    <w:rsid w:val="004A580F"/>
    <w:rsid w:val="004A6E53"/>
    <w:rsid w:val="004B068E"/>
    <w:rsid w:val="004B61E2"/>
    <w:rsid w:val="004C2C54"/>
    <w:rsid w:val="004C3C67"/>
    <w:rsid w:val="004C4E63"/>
    <w:rsid w:val="004D4F3D"/>
    <w:rsid w:val="005018AB"/>
    <w:rsid w:val="0050467E"/>
    <w:rsid w:val="005213D7"/>
    <w:rsid w:val="005247EF"/>
    <w:rsid w:val="00545420"/>
    <w:rsid w:val="00563F24"/>
    <w:rsid w:val="00574C1D"/>
    <w:rsid w:val="00581505"/>
    <w:rsid w:val="00582B49"/>
    <w:rsid w:val="005A44E4"/>
    <w:rsid w:val="005B61B6"/>
    <w:rsid w:val="005B6A1E"/>
    <w:rsid w:val="005C1884"/>
    <w:rsid w:val="005C3BEE"/>
    <w:rsid w:val="005C3EF0"/>
    <w:rsid w:val="005C4F33"/>
    <w:rsid w:val="005D4223"/>
    <w:rsid w:val="005E0C9C"/>
    <w:rsid w:val="006035E9"/>
    <w:rsid w:val="0060383B"/>
    <w:rsid w:val="006116FC"/>
    <w:rsid w:val="006133E8"/>
    <w:rsid w:val="006160B2"/>
    <w:rsid w:val="0062046C"/>
    <w:rsid w:val="006227AC"/>
    <w:rsid w:val="00623161"/>
    <w:rsid w:val="0062471C"/>
    <w:rsid w:val="00625202"/>
    <w:rsid w:val="00627236"/>
    <w:rsid w:val="0063352F"/>
    <w:rsid w:val="00662C6D"/>
    <w:rsid w:val="00667655"/>
    <w:rsid w:val="00667766"/>
    <w:rsid w:val="00691F00"/>
    <w:rsid w:val="006938C5"/>
    <w:rsid w:val="006A610B"/>
    <w:rsid w:val="006B68A8"/>
    <w:rsid w:val="006D6DAE"/>
    <w:rsid w:val="006F2094"/>
    <w:rsid w:val="006F52AC"/>
    <w:rsid w:val="00702FDA"/>
    <w:rsid w:val="00704ABA"/>
    <w:rsid w:val="007247FD"/>
    <w:rsid w:val="0072483B"/>
    <w:rsid w:val="00726C66"/>
    <w:rsid w:val="00744EF3"/>
    <w:rsid w:val="00750E45"/>
    <w:rsid w:val="00753D64"/>
    <w:rsid w:val="0075413A"/>
    <w:rsid w:val="00754C43"/>
    <w:rsid w:val="007563CD"/>
    <w:rsid w:val="0076063F"/>
    <w:rsid w:val="007610C9"/>
    <w:rsid w:val="00771633"/>
    <w:rsid w:val="00771D2A"/>
    <w:rsid w:val="00771F16"/>
    <w:rsid w:val="00782304"/>
    <w:rsid w:val="0078333D"/>
    <w:rsid w:val="007862BC"/>
    <w:rsid w:val="00794C3C"/>
    <w:rsid w:val="007A1EDB"/>
    <w:rsid w:val="007A2A07"/>
    <w:rsid w:val="007B0971"/>
    <w:rsid w:val="007B24FC"/>
    <w:rsid w:val="007B6494"/>
    <w:rsid w:val="007C1DFA"/>
    <w:rsid w:val="007E0E12"/>
    <w:rsid w:val="007E7E5B"/>
    <w:rsid w:val="007F4895"/>
    <w:rsid w:val="008015E7"/>
    <w:rsid w:val="00805956"/>
    <w:rsid w:val="00817B5F"/>
    <w:rsid w:val="00821247"/>
    <w:rsid w:val="0082208A"/>
    <w:rsid w:val="008310D8"/>
    <w:rsid w:val="00834847"/>
    <w:rsid w:val="00840830"/>
    <w:rsid w:val="00851C59"/>
    <w:rsid w:val="0085613F"/>
    <w:rsid w:val="008573B4"/>
    <w:rsid w:val="00870B74"/>
    <w:rsid w:val="00874EC5"/>
    <w:rsid w:val="00876555"/>
    <w:rsid w:val="00885344"/>
    <w:rsid w:val="008860A2"/>
    <w:rsid w:val="00893183"/>
    <w:rsid w:val="00896E4D"/>
    <w:rsid w:val="008A5EE2"/>
    <w:rsid w:val="008B1014"/>
    <w:rsid w:val="008C0124"/>
    <w:rsid w:val="008C5689"/>
    <w:rsid w:val="008D1A4D"/>
    <w:rsid w:val="008D71E1"/>
    <w:rsid w:val="008E425F"/>
    <w:rsid w:val="008E442B"/>
    <w:rsid w:val="008F18B2"/>
    <w:rsid w:val="008F2AD5"/>
    <w:rsid w:val="008F6963"/>
    <w:rsid w:val="00914ABF"/>
    <w:rsid w:val="00920749"/>
    <w:rsid w:val="00920CD1"/>
    <w:rsid w:val="0092415F"/>
    <w:rsid w:val="00924E8B"/>
    <w:rsid w:val="009734C0"/>
    <w:rsid w:val="00975E9B"/>
    <w:rsid w:val="009919B8"/>
    <w:rsid w:val="009940E6"/>
    <w:rsid w:val="009A15CA"/>
    <w:rsid w:val="009A7107"/>
    <w:rsid w:val="009B0F9D"/>
    <w:rsid w:val="009B4F2E"/>
    <w:rsid w:val="009C2F69"/>
    <w:rsid w:val="009C7ED7"/>
    <w:rsid w:val="009D0434"/>
    <w:rsid w:val="009D2908"/>
    <w:rsid w:val="009D387B"/>
    <w:rsid w:val="009D749C"/>
    <w:rsid w:val="009E46DE"/>
    <w:rsid w:val="009E49DD"/>
    <w:rsid w:val="009E55DD"/>
    <w:rsid w:val="009F170D"/>
    <w:rsid w:val="009F4E85"/>
    <w:rsid w:val="009F60F9"/>
    <w:rsid w:val="00A10C46"/>
    <w:rsid w:val="00A2116B"/>
    <w:rsid w:val="00A2383F"/>
    <w:rsid w:val="00A244A9"/>
    <w:rsid w:val="00A2751E"/>
    <w:rsid w:val="00A3067B"/>
    <w:rsid w:val="00A306F4"/>
    <w:rsid w:val="00A33F57"/>
    <w:rsid w:val="00A46081"/>
    <w:rsid w:val="00A5469F"/>
    <w:rsid w:val="00A56BC5"/>
    <w:rsid w:val="00A914AA"/>
    <w:rsid w:val="00AB32C9"/>
    <w:rsid w:val="00AC1F01"/>
    <w:rsid w:val="00AC3ACE"/>
    <w:rsid w:val="00AC6B04"/>
    <w:rsid w:val="00AD26DA"/>
    <w:rsid w:val="00AD3B7F"/>
    <w:rsid w:val="00AE66D4"/>
    <w:rsid w:val="00AF3F82"/>
    <w:rsid w:val="00B0423C"/>
    <w:rsid w:val="00B07580"/>
    <w:rsid w:val="00B101BD"/>
    <w:rsid w:val="00B12718"/>
    <w:rsid w:val="00B14D5C"/>
    <w:rsid w:val="00B1658B"/>
    <w:rsid w:val="00B33651"/>
    <w:rsid w:val="00B3497D"/>
    <w:rsid w:val="00B407ED"/>
    <w:rsid w:val="00B46599"/>
    <w:rsid w:val="00B53E27"/>
    <w:rsid w:val="00B56195"/>
    <w:rsid w:val="00B64B60"/>
    <w:rsid w:val="00B669D3"/>
    <w:rsid w:val="00B73CD0"/>
    <w:rsid w:val="00B75965"/>
    <w:rsid w:val="00B86637"/>
    <w:rsid w:val="00B87E16"/>
    <w:rsid w:val="00B92B1B"/>
    <w:rsid w:val="00BA3C86"/>
    <w:rsid w:val="00BA3D1C"/>
    <w:rsid w:val="00BA71DC"/>
    <w:rsid w:val="00BA7B53"/>
    <w:rsid w:val="00BB5325"/>
    <w:rsid w:val="00BB6719"/>
    <w:rsid w:val="00BC1D1C"/>
    <w:rsid w:val="00BC3F99"/>
    <w:rsid w:val="00BC4CF4"/>
    <w:rsid w:val="00BC70DD"/>
    <w:rsid w:val="00BE1AB0"/>
    <w:rsid w:val="00BE51DB"/>
    <w:rsid w:val="00BE5BD6"/>
    <w:rsid w:val="00C01403"/>
    <w:rsid w:val="00C02E4E"/>
    <w:rsid w:val="00C47751"/>
    <w:rsid w:val="00C55602"/>
    <w:rsid w:val="00C5647E"/>
    <w:rsid w:val="00C730C6"/>
    <w:rsid w:val="00C75FFA"/>
    <w:rsid w:val="00C83F18"/>
    <w:rsid w:val="00CA18A7"/>
    <w:rsid w:val="00CB0B7B"/>
    <w:rsid w:val="00CB65BC"/>
    <w:rsid w:val="00CC53DC"/>
    <w:rsid w:val="00CD29FC"/>
    <w:rsid w:val="00CD47F0"/>
    <w:rsid w:val="00CE30DD"/>
    <w:rsid w:val="00D005AA"/>
    <w:rsid w:val="00D0576E"/>
    <w:rsid w:val="00D120A8"/>
    <w:rsid w:val="00D2003F"/>
    <w:rsid w:val="00D22EEE"/>
    <w:rsid w:val="00D23FEC"/>
    <w:rsid w:val="00D51170"/>
    <w:rsid w:val="00D62635"/>
    <w:rsid w:val="00D64471"/>
    <w:rsid w:val="00D717A0"/>
    <w:rsid w:val="00D774BB"/>
    <w:rsid w:val="00DA15DE"/>
    <w:rsid w:val="00DA4DA7"/>
    <w:rsid w:val="00DB09ED"/>
    <w:rsid w:val="00DB29B6"/>
    <w:rsid w:val="00DC2A17"/>
    <w:rsid w:val="00DD1F67"/>
    <w:rsid w:val="00DD2AED"/>
    <w:rsid w:val="00DE018A"/>
    <w:rsid w:val="00DE4CD2"/>
    <w:rsid w:val="00DF2DF5"/>
    <w:rsid w:val="00DF3FB0"/>
    <w:rsid w:val="00E03FFF"/>
    <w:rsid w:val="00E31443"/>
    <w:rsid w:val="00E37DCD"/>
    <w:rsid w:val="00E40035"/>
    <w:rsid w:val="00E423D4"/>
    <w:rsid w:val="00E43412"/>
    <w:rsid w:val="00E435CB"/>
    <w:rsid w:val="00E4475B"/>
    <w:rsid w:val="00E451C9"/>
    <w:rsid w:val="00E45783"/>
    <w:rsid w:val="00E56A6E"/>
    <w:rsid w:val="00E605A3"/>
    <w:rsid w:val="00E74345"/>
    <w:rsid w:val="00E90E54"/>
    <w:rsid w:val="00E93059"/>
    <w:rsid w:val="00E952AE"/>
    <w:rsid w:val="00E95A2F"/>
    <w:rsid w:val="00EA0CF6"/>
    <w:rsid w:val="00EB4DB1"/>
    <w:rsid w:val="00EB5E66"/>
    <w:rsid w:val="00EC7FFD"/>
    <w:rsid w:val="00EE6ED9"/>
    <w:rsid w:val="00EF096F"/>
    <w:rsid w:val="00F021B0"/>
    <w:rsid w:val="00F030B6"/>
    <w:rsid w:val="00F04106"/>
    <w:rsid w:val="00F10351"/>
    <w:rsid w:val="00F11C8E"/>
    <w:rsid w:val="00F14F3A"/>
    <w:rsid w:val="00F215D4"/>
    <w:rsid w:val="00F26F78"/>
    <w:rsid w:val="00F31B51"/>
    <w:rsid w:val="00F3740F"/>
    <w:rsid w:val="00F40C8D"/>
    <w:rsid w:val="00F47FC8"/>
    <w:rsid w:val="00F50412"/>
    <w:rsid w:val="00F51C70"/>
    <w:rsid w:val="00F5297D"/>
    <w:rsid w:val="00F53FC2"/>
    <w:rsid w:val="00F8098D"/>
    <w:rsid w:val="00F81EC9"/>
    <w:rsid w:val="00F82B5E"/>
    <w:rsid w:val="00F847F4"/>
    <w:rsid w:val="00F877EA"/>
    <w:rsid w:val="00F87C40"/>
    <w:rsid w:val="00F940D5"/>
    <w:rsid w:val="00FA0DCB"/>
    <w:rsid w:val="00FA2F38"/>
    <w:rsid w:val="00FA65A4"/>
    <w:rsid w:val="00FA6A1E"/>
    <w:rsid w:val="00FE183E"/>
    <w:rsid w:val="00FE2FCA"/>
    <w:rsid w:val="00FE3B29"/>
    <w:rsid w:val="00FF12A2"/>
    <w:rsid w:val="00FF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0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paragraph" w:styleId="ListParagraph">
    <w:name w:val="List Paragraph"/>
    <w:basedOn w:val="Normal"/>
    <w:uiPriority w:val="34"/>
    <w:qFormat/>
    <w:rsid w:val="00D62635"/>
    <w:pPr>
      <w:ind w:left="720"/>
      <w:contextualSpacing/>
    </w:pPr>
    <w:rPr>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paragraph" w:styleId="BalloonText">
    <w:name w:val="Balloon Text"/>
    <w:basedOn w:val="Normal"/>
    <w:link w:val="BalloonTextChar"/>
    <w:uiPriority w:val="99"/>
    <w:semiHidden/>
    <w:unhideWhenUsed/>
    <w:rsid w:val="009E4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9DD"/>
    <w:rPr>
      <w:rFonts w:ascii="Segoe UI" w:hAnsi="Segoe UI" w:cs="Segoe UI"/>
      <w:sz w:val="18"/>
      <w:szCs w:val="18"/>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paragraph" w:styleId="ListParagraph">
    <w:name w:val="List Paragraph"/>
    <w:basedOn w:val="Normal"/>
    <w:uiPriority w:val="34"/>
    <w:qFormat/>
    <w:rsid w:val="00D62635"/>
    <w:pPr>
      <w:ind w:left="720"/>
      <w:contextualSpacing/>
    </w:pPr>
    <w:rPr>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paragraph" w:styleId="BalloonText">
    <w:name w:val="Balloon Text"/>
    <w:basedOn w:val="Normal"/>
    <w:link w:val="BalloonTextChar"/>
    <w:uiPriority w:val="99"/>
    <w:semiHidden/>
    <w:unhideWhenUsed/>
    <w:rsid w:val="009E4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9DD"/>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5024">
      <w:bodyDiv w:val="1"/>
      <w:marLeft w:val="0"/>
      <w:marRight w:val="0"/>
      <w:marTop w:val="0"/>
      <w:marBottom w:val="0"/>
      <w:divBdr>
        <w:top w:val="none" w:sz="0" w:space="0" w:color="auto"/>
        <w:left w:val="none" w:sz="0" w:space="0" w:color="auto"/>
        <w:bottom w:val="none" w:sz="0" w:space="0" w:color="auto"/>
        <w:right w:val="none" w:sz="0" w:space="0" w:color="auto"/>
      </w:divBdr>
    </w:div>
    <w:div w:id="612907590">
      <w:bodyDiv w:val="1"/>
      <w:marLeft w:val="0"/>
      <w:marRight w:val="0"/>
      <w:marTop w:val="0"/>
      <w:marBottom w:val="0"/>
      <w:divBdr>
        <w:top w:val="none" w:sz="0" w:space="0" w:color="auto"/>
        <w:left w:val="none" w:sz="0" w:space="0" w:color="auto"/>
        <w:bottom w:val="none" w:sz="0" w:space="0" w:color="auto"/>
        <w:right w:val="none" w:sz="0" w:space="0" w:color="auto"/>
      </w:divBdr>
    </w:div>
    <w:div w:id="1516765936">
      <w:bodyDiv w:val="1"/>
      <w:marLeft w:val="0"/>
      <w:marRight w:val="0"/>
      <w:marTop w:val="0"/>
      <w:marBottom w:val="0"/>
      <w:divBdr>
        <w:top w:val="none" w:sz="0" w:space="0" w:color="auto"/>
        <w:left w:val="none" w:sz="0" w:space="0" w:color="auto"/>
        <w:bottom w:val="none" w:sz="0" w:space="0" w:color="auto"/>
        <w:right w:val="none" w:sz="0" w:space="0" w:color="auto"/>
      </w:divBdr>
    </w:div>
    <w:div w:id="19446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Karla von Felbinger</cp:lastModifiedBy>
  <cp:revision>4</cp:revision>
  <dcterms:created xsi:type="dcterms:W3CDTF">2021-05-20T10:15:00Z</dcterms:created>
  <dcterms:modified xsi:type="dcterms:W3CDTF">2021-05-20T11:29:00Z</dcterms:modified>
</cp:coreProperties>
</file>