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1529F" w14:textId="77777777" w:rsidR="0010334C" w:rsidRDefault="005C5928" w:rsidP="009519B5">
      <w:pPr>
        <w:pStyle w:val="BodyText"/>
        <w:tabs>
          <w:tab w:val="left" w:pos="4680"/>
        </w:tabs>
        <w:ind w:left="4680"/>
        <w:rPr>
          <w:rFonts w:ascii="Calibri" w:eastAsia="Calibri" w:hAnsi="Calibri" w:cs="Calibri"/>
          <w:b/>
          <w:i/>
        </w:rPr>
      </w:pPr>
      <w:r>
        <w:rPr>
          <w:rFonts w:ascii="Calibri" w:eastAsia="Calibri" w:hAnsi="Calibri" w:cs="Calibri"/>
          <w:b/>
          <w:i/>
        </w:rPr>
        <w:t>Corporate Contact</w:t>
      </w:r>
      <w:r w:rsidRPr="004A1DC8">
        <w:rPr>
          <w:rFonts w:ascii="Calibri" w:eastAsia="Calibri" w:hAnsi="Calibri" w:cs="Calibri"/>
          <w:b/>
          <w:i/>
        </w:rPr>
        <w:t>:</w:t>
      </w:r>
    </w:p>
    <w:p w14:paraId="1C5B9A4C" w14:textId="77777777" w:rsidR="0010334C" w:rsidRPr="0010334C" w:rsidRDefault="005C5928" w:rsidP="009519B5">
      <w:pPr>
        <w:pStyle w:val="BodyText"/>
        <w:tabs>
          <w:tab w:val="left" w:pos="4680"/>
        </w:tabs>
        <w:ind w:left="4680"/>
        <w:rPr>
          <w:rFonts w:ascii="Calibri" w:eastAsia="Calibri" w:hAnsi="Calibri" w:cs="Calibri"/>
          <w:b/>
          <w:i/>
        </w:rPr>
      </w:pPr>
      <w:r>
        <w:rPr>
          <w:rFonts w:ascii="Calibri" w:eastAsia="Calibri" w:hAnsi="Calibri" w:cs="Calibri"/>
        </w:rPr>
        <w:t>Andreas Michalopoulos</w:t>
      </w:r>
    </w:p>
    <w:p w14:paraId="013B04BE" w14:textId="77777777" w:rsidR="0010334C" w:rsidRDefault="005C5928" w:rsidP="009519B5">
      <w:pPr>
        <w:pStyle w:val="BodyText"/>
        <w:tabs>
          <w:tab w:val="left" w:pos="4680"/>
          <w:tab w:val="left" w:pos="7291"/>
        </w:tabs>
        <w:rPr>
          <w:rFonts w:ascii="Calibri" w:eastAsia="Calibri" w:hAnsi="Calibri" w:cs="Calibri"/>
        </w:rPr>
      </w:pPr>
      <w:r>
        <w:rPr>
          <w:rFonts w:ascii="Calibri" w:eastAsia="Calibri" w:hAnsi="Calibri" w:cs="Calibri"/>
        </w:rPr>
        <w:tab/>
      </w:r>
      <w:r w:rsidR="006227AC">
        <w:rPr>
          <w:rFonts w:ascii="Calibri" w:eastAsia="Calibri" w:hAnsi="Calibri" w:cs="Calibri"/>
        </w:rPr>
        <w:t>Chief Executive Officer,</w:t>
      </w:r>
      <w:r>
        <w:rPr>
          <w:rFonts w:ascii="Calibri" w:eastAsia="Calibri" w:hAnsi="Calibri" w:cs="Calibri"/>
        </w:rPr>
        <w:t xml:space="preserve"> Director</w:t>
      </w:r>
      <w:r w:rsidR="006227AC">
        <w:rPr>
          <w:rFonts w:ascii="Calibri" w:eastAsia="Calibri" w:hAnsi="Calibri" w:cs="Calibri"/>
        </w:rPr>
        <w:t xml:space="preserve"> and Secretary</w:t>
      </w:r>
    </w:p>
    <w:p w14:paraId="5031AA2A" w14:textId="77777777" w:rsidR="0010334C" w:rsidRPr="004A1DC8" w:rsidRDefault="005C5928" w:rsidP="009519B5">
      <w:pPr>
        <w:pStyle w:val="BodyText"/>
        <w:tabs>
          <w:tab w:val="left" w:pos="4680"/>
        </w:tabs>
        <w:ind w:left="4680"/>
        <w:rPr>
          <w:rFonts w:ascii="Calibri" w:eastAsia="Calibri" w:hAnsi="Calibri" w:cs="Calibri"/>
        </w:rPr>
      </w:pPr>
      <w:r w:rsidRPr="004A1DC8">
        <w:rPr>
          <w:rFonts w:ascii="Calibri" w:eastAsia="Calibri" w:hAnsi="Calibri" w:cs="Calibri"/>
        </w:rPr>
        <w:t xml:space="preserve">Telephone: + </w:t>
      </w:r>
      <w:r>
        <w:rPr>
          <w:rFonts w:ascii="Calibri" w:eastAsia="Calibri" w:hAnsi="Calibri" w:cs="Calibri"/>
        </w:rPr>
        <w:t>30-216-600-2400</w:t>
      </w:r>
    </w:p>
    <w:p w14:paraId="1C59EF7E" w14:textId="77777777" w:rsidR="0010334C" w:rsidRPr="0062471C" w:rsidRDefault="005C5928" w:rsidP="009519B5">
      <w:pPr>
        <w:tabs>
          <w:tab w:val="left" w:pos="540"/>
          <w:tab w:val="left" w:pos="4680"/>
        </w:tabs>
        <w:spacing w:after="0"/>
        <w:ind w:left="4680"/>
        <w:rPr>
          <w:rFonts w:cs="Calibri"/>
          <w:lang w:val="en-US"/>
        </w:rPr>
      </w:pPr>
      <w:r w:rsidRPr="004A1DC8">
        <w:rPr>
          <w:rFonts w:cs="Calibri"/>
          <w:lang w:val="en-US"/>
        </w:rPr>
        <w:t xml:space="preserve">Email: </w:t>
      </w:r>
      <w:hyperlink r:id="rId9" w:history="1">
        <w:r w:rsidRPr="0010334C">
          <w:rPr>
            <w:rStyle w:val="Hyperlink"/>
            <w:rFonts w:ascii="Calibri" w:hAnsi="Calibri" w:cs="Calibri"/>
            <w:lang w:val="en-US"/>
          </w:rPr>
          <w:t>amichalopoulos@pshipping.com</w:t>
        </w:r>
      </w:hyperlink>
      <w:r>
        <w:rPr>
          <w:rFonts w:cs="Calibri"/>
          <w:lang w:val="en-US"/>
        </w:rPr>
        <w:br/>
      </w:r>
      <w:r w:rsidRPr="0062471C">
        <w:rPr>
          <w:rFonts w:cs="Calibri"/>
          <w:lang w:val="en-US"/>
        </w:rPr>
        <w:t xml:space="preserve">Website: </w:t>
      </w:r>
      <w:r w:rsidRPr="0010334C">
        <w:rPr>
          <w:rStyle w:val="Hyperlink"/>
          <w:rFonts w:ascii="Calibri" w:hAnsi="Calibri" w:cs="Calibri"/>
          <w:lang w:val="en-US"/>
        </w:rPr>
        <w:t>www.pshipping.com</w:t>
      </w:r>
    </w:p>
    <w:p w14:paraId="3709BDA2" w14:textId="77777777" w:rsidR="00B762BD" w:rsidRDefault="00B762BD" w:rsidP="009519B5">
      <w:pPr>
        <w:pStyle w:val="BodyText"/>
        <w:tabs>
          <w:tab w:val="left" w:pos="4680"/>
        </w:tabs>
        <w:rPr>
          <w:rFonts w:ascii="Calibri" w:eastAsia="Calibri" w:hAnsi="Calibri" w:cs="Calibri"/>
        </w:rPr>
      </w:pPr>
    </w:p>
    <w:p w14:paraId="21359479" w14:textId="77777777" w:rsidR="00C55602" w:rsidRPr="004A1DC8" w:rsidRDefault="005C5928" w:rsidP="009519B5">
      <w:pPr>
        <w:pStyle w:val="BodyText"/>
        <w:tabs>
          <w:tab w:val="left" w:pos="4680"/>
        </w:tabs>
        <w:rPr>
          <w:rFonts w:ascii="Calibri" w:eastAsia="Calibri" w:hAnsi="Calibri" w:cs="Calibri"/>
          <w:b/>
          <w:i/>
        </w:rPr>
      </w:pPr>
      <w:bookmarkStart w:id="0" w:name="_GoBack"/>
      <w:bookmarkEnd w:id="0"/>
      <w:r w:rsidRPr="004A1DC8">
        <w:rPr>
          <w:rFonts w:ascii="Calibri" w:eastAsia="Calibri" w:hAnsi="Calibri" w:cs="Calibri"/>
        </w:rPr>
        <w:tab/>
      </w:r>
      <w:r w:rsidRPr="004A1DC8">
        <w:rPr>
          <w:rFonts w:ascii="Calibri" w:eastAsia="Calibri" w:hAnsi="Calibri" w:cs="Calibri"/>
          <w:b/>
          <w:i/>
        </w:rPr>
        <w:t>Investor and Media Relations:</w:t>
      </w:r>
    </w:p>
    <w:p w14:paraId="1F8DA712" w14:textId="77777777" w:rsidR="00C55602" w:rsidRPr="004A1DC8" w:rsidRDefault="005C5928" w:rsidP="009519B5">
      <w:pPr>
        <w:pStyle w:val="BodyText"/>
        <w:tabs>
          <w:tab w:val="left" w:pos="4680"/>
        </w:tabs>
        <w:rPr>
          <w:rFonts w:ascii="Calibri" w:eastAsia="Calibri" w:hAnsi="Calibri" w:cs="Calibri"/>
        </w:rPr>
      </w:pPr>
      <w:r w:rsidRPr="004A1DC8">
        <w:rPr>
          <w:rFonts w:ascii="Calibri" w:eastAsia="Calibri" w:hAnsi="Calibri" w:cs="Calibri"/>
        </w:rPr>
        <w:tab/>
        <w:t>Edward Nebb</w:t>
      </w:r>
    </w:p>
    <w:p w14:paraId="184F3176" w14:textId="77777777" w:rsidR="00C55602" w:rsidRPr="004A1DC8" w:rsidRDefault="005C5928" w:rsidP="009519B5">
      <w:pPr>
        <w:pStyle w:val="BodyText"/>
        <w:tabs>
          <w:tab w:val="left" w:pos="4680"/>
        </w:tabs>
        <w:rPr>
          <w:rFonts w:ascii="Calibri" w:eastAsia="Calibri" w:hAnsi="Calibri" w:cs="Calibri"/>
        </w:rPr>
      </w:pPr>
      <w:r w:rsidRPr="004A1DC8">
        <w:rPr>
          <w:rFonts w:ascii="Calibri" w:eastAsia="Calibri" w:hAnsi="Calibri" w:cs="Calibri"/>
        </w:rPr>
        <w:tab/>
        <w:t>Comm-Counsellors, LLC</w:t>
      </w:r>
    </w:p>
    <w:p w14:paraId="31294021" w14:textId="77777777" w:rsidR="00C55602" w:rsidRPr="004A1DC8" w:rsidRDefault="005C5928" w:rsidP="009519B5">
      <w:pPr>
        <w:pStyle w:val="BodyText"/>
        <w:tabs>
          <w:tab w:val="left" w:pos="4680"/>
        </w:tabs>
        <w:rPr>
          <w:rFonts w:ascii="Calibri" w:eastAsia="Calibri" w:hAnsi="Calibri" w:cs="Calibri"/>
        </w:rPr>
      </w:pPr>
      <w:r w:rsidRPr="004A1DC8">
        <w:rPr>
          <w:rFonts w:ascii="Calibri" w:eastAsia="Calibri" w:hAnsi="Calibri" w:cs="Calibri"/>
        </w:rPr>
        <w:tab/>
        <w:t>Telephone: + 1-203-972-8350</w:t>
      </w:r>
    </w:p>
    <w:p w14:paraId="168DF7AD" w14:textId="77777777" w:rsidR="00C55602" w:rsidRPr="004A1DC8" w:rsidRDefault="005C5928" w:rsidP="009519B5">
      <w:pPr>
        <w:tabs>
          <w:tab w:val="left" w:pos="540"/>
          <w:tab w:val="left" w:pos="4680"/>
        </w:tabs>
        <w:spacing w:after="0"/>
        <w:rPr>
          <w:rFonts w:cs="Calibri"/>
          <w:lang w:val="en-US"/>
        </w:rPr>
      </w:pPr>
      <w:r w:rsidRPr="004A1DC8">
        <w:rPr>
          <w:rFonts w:cs="Calibri"/>
          <w:lang w:val="en-GB"/>
        </w:rPr>
        <w:tab/>
      </w:r>
      <w:r w:rsidRPr="004A1DC8">
        <w:rPr>
          <w:rFonts w:cs="Calibri"/>
          <w:lang w:val="en-GB"/>
        </w:rPr>
        <w:tab/>
      </w:r>
      <w:r w:rsidRPr="004A1DC8">
        <w:rPr>
          <w:rFonts w:cs="Calibri"/>
          <w:lang w:val="en-US"/>
        </w:rPr>
        <w:t xml:space="preserve">Email: </w:t>
      </w:r>
      <w:r w:rsidRPr="004A1DC8">
        <w:rPr>
          <w:rFonts w:cs="Calibri"/>
          <w:color w:val="0000FF"/>
          <w:u w:val="single"/>
          <w:lang w:val="en-US"/>
        </w:rPr>
        <w:t>enebb@optonline.net</w:t>
      </w:r>
    </w:p>
    <w:p w14:paraId="5F635879" w14:textId="77777777" w:rsidR="00C55602" w:rsidRDefault="00C55602" w:rsidP="00C55602">
      <w:pPr>
        <w:pStyle w:val="BodyText"/>
        <w:tabs>
          <w:tab w:val="left" w:pos="540"/>
          <w:tab w:val="left" w:pos="4680"/>
        </w:tabs>
        <w:rPr>
          <w:rFonts w:ascii="Calibri" w:eastAsia="Calibri" w:hAnsi="Calibri" w:cs="Calibri"/>
        </w:rPr>
      </w:pPr>
    </w:p>
    <w:p w14:paraId="014615BE" w14:textId="77777777" w:rsidR="009519B5" w:rsidRPr="004A1DC8" w:rsidRDefault="009519B5" w:rsidP="00C55602">
      <w:pPr>
        <w:pStyle w:val="BodyText"/>
        <w:tabs>
          <w:tab w:val="left" w:pos="540"/>
          <w:tab w:val="left" w:pos="4680"/>
        </w:tabs>
        <w:rPr>
          <w:rFonts w:ascii="Calibri" w:eastAsia="Calibri" w:hAnsi="Calibri" w:cs="Calibri"/>
        </w:rPr>
      </w:pPr>
    </w:p>
    <w:p w14:paraId="78BCD032" w14:textId="77777777" w:rsidR="0050467E" w:rsidRPr="0050467E" w:rsidRDefault="005C5928" w:rsidP="0050467E">
      <w:pPr>
        <w:pStyle w:val="BodyText"/>
        <w:tabs>
          <w:tab w:val="left" w:pos="540"/>
        </w:tabs>
        <w:jc w:val="center"/>
        <w:rPr>
          <w:rFonts w:ascii="Calibri" w:eastAsia="Calibri" w:hAnsi="Calibri" w:cs="Calibri"/>
          <w:b/>
        </w:rPr>
      </w:pPr>
      <w:r>
        <w:rPr>
          <w:rFonts w:ascii="Calibri" w:eastAsia="Calibri" w:hAnsi="Calibri" w:cs="Calibri"/>
          <w:b/>
        </w:rPr>
        <w:t>PERFORMANCE SHIPPING</w:t>
      </w:r>
      <w:r w:rsidRPr="0050467E">
        <w:rPr>
          <w:rFonts w:ascii="Calibri" w:eastAsia="Calibri" w:hAnsi="Calibri" w:cs="Calibri"/>
          <w:b/>
        </w:rPr>
        <w:t xml:space="preserve"> INC. REPORTS FINANCIAL RESULTS </w:t>
      </w:r>
    </w:p>
    <w:p w14:paraId="7E8BF484" w14:textId="77777777" w:rsidR="009940E6" w:rsidRDefault="005C5928" w:rsidP="0050467E">
      <w:pPr>
        <w:pStyle w:val="BodyText"/>
        <w:tabs>
          <w:tab w:val="left" w:pos="540"/>
        </w:tabs>
        <w:jc w:val="center"/>
        <w:rPr>
          <w:rFonts w:ascii="Calibri" w:eastAsia="Calibri" w:hAnsi="Calibri" w:cs="Calibri"/>
          <w:b/>
        </w:rPr>
      </w:pPr>
      <w:r>
        <w:rPr>
          <w:rFonts w:ascii="Calibri" w:eastAsia="Calibri" w:hAnsi="Calibri" w:cs="Calibri"/>
          <w:b/>
        </w:rPr>
        <w:t xml:space="preserve">FOR THE </w:t>
      </w:r>
      <w:r w:rsidR="00B86637">
        <w:rPr>
          <w:rFonts w:ascii="Calibri" w:eastAsia="Calibri" w:hAnsi="Calibri" w:cs="Calibri"/>
          <w:b/>
        </w:rPr>
        <w:t>FOURTH</w:t>
      </w:r>
      <w:r w:rsidR="005C3EF0">
        <w:rPr>
          <w:rFonts w:ascii="Calibri" w:eastAsia="Calibri" w:hAnsi="Calibri" w:cs="Calibri"/>
          <w:b/>
        </w:rPr>
        <w:t xml:space="preserve"> </w:t>
      </w:r>
      <w:r w:rsidR="005C3EF0" w:rsidRPr="00F87C40">
        <w:rPr>
          <w:rFonts w:ascii="Calibri" w:eastAsia="Calibri" w:hAnsi="Calibri" w:cs="Calibri"/>
          <w:b/>
        </w:rPr>
        <w:t xml:space="preserve">QUARTER </w:t>
      </w:r>
      <w:r>
        <w:rPr>
          <w:rFonts w:ascii="Calibri" w:eastAsia="Calibri" w:hAnsi="Calibri" w:cs="Calibri"/>
          <w:b/>
        </w:rPr>
        <w:t xml:space="preserve">AND </w:t>
      </w:r>
      <w:r w:rsidR="00B86637">
        <w:rPr>
          <w:rFonts w:ascii="Calibri" w:eastAsia="Calibri" w:hAnsi="Calibri" w:cs="Calibri"/>
          <w:b/>
        </w:rPr>
        <w:t>YEAR</w:t>
      </w:r>
      <w:r w:rsidR="005C3EF0">
        <w:rPr>
          <w:rFonts w:ascii="Calibri" w:eastAsia="Calibri" w:hAnsi="Calibri" w:cs="Calibri"/>
          <w:b/>
        </w:rPr>
        <w:t xml:space="preserve"> ENDED </w:t>
      </w:r>
      <w:r w:rsidR="00B86637">
        <w:rPr>
          <w:rFonts w:ascii="Calibri" w:eastAsia="Calibri" w:hAnsi="Calibri" w:cs="Calibri"/>
          <w:b/>
        </w:rPr>
        <w:t>DEC</w:t>
      </w:r>
      <w:r>
        <w:rPr>
          <w:rFonts w:ascii="Calibri" w:eastAsia="Calibri" w:hAnsi="Calibri" w:cs="Calibri"/>
          <w:b/>
        </w:rPr>
        <w:t>EMBER</w:t>
      </w:r>
      <w:r w:rsidR="00B86637">
        <w:rPr>
          <w:rFonts w:ascii="Calibri" w:eastAsia="Calibri" w:hAnsi="Calibri" w:cs="Calibri"/>
          <w:b/>
        </w:rPr>
        <w:t xml:space="preserve"> 31</w:t>
      </w:r>
      <w:r w:rsidR="005C3EF0">
        <w:rPr>
          <w:rFonts w:ascii="Calibri" w:eastAsia="Calibri" w:hAnsi="Calibri" w:cs="Calibri"/>
          <w:b/>
        </w:rPr>
        <w:t>, 2020</w:t>
      </w:r>
    </w:p>
    <w:p w14:paraId="5A3055FA" w14:textId="77777777" w:rsidR="001B1F07" w:rsidRDefault="001B1F07" w:rsidP="009B4F2E">
      <w:pPr>
        <w:pStyle w:val="BodyText"/>
        <w:tabs>
          <w:tab w:val="left" w:pos="540"/>
        </w:tabs>
        <w:jc w:val="center"/>
        <w:rPr>
          <w:rFonts w:ascii="Calibri" w:eastAsia="Calibri" w:hAnsi="Calibri" w:cs="Calibri"/>
          <w:b/>
        </w:rPr>
      </w:pPr>
    </w:p>
    <w:p w14:paraId="0B5F3290" w14:textId="77777777" w:rsidR="009519B5" w:rsidRDefault="009519B5" w:rsidP="009B4F2E">
      <w:pPr>
        <w:pStyle w:val="BodyText"/>
        <w:tabs>
          <w:tab w:val="left" w:pos="540"/>
        </w:tabs>
        <w:jc w:val="center"/>
        <w:rPr>
          <w:rFonts w:ascii="Calibri" w:eastAsia="Calibri" w:hAnsi="Calibri" w:cs="Calibri"/>
          <w:b/>
        </w:rPr>
      </w:pPr>
    </w:p>
    <w:p w14:paraId="5E237083" w14:textId="77777777" w:rsidR="008E442B" w:rsidRPr="003B7068" w:rsidRDefault="005C5928" w:rsidP="003B7068">
      <w:pPr>
        <w:pStyle w:val="Normal0"/>
        <w:ind w:right="-82"/>
        <w:jc w:val="both"/>
        <w:rPr>
          <w:rFonts w:ascii="Calibri" w:eastAsia="Calibri" w:hAnsi="Calibri" w:cs="Calibri"/>
        </w:rPr>
      </w:pPr>
      <w:r>
        <w:rPr>
          <w:rFonts w:ascii="Calibri" w:eastAsia="Calibri" w:hAnsi="Calibri" w:cs="Calibri"/>
        </w:rPr>
        <w:t xml:space="preserve">ATHENS, GREECE, March </w:t>
      </w:r>
      <w:r w:rsidR="00643FC8">
        <w:rPr>
          <w:rFonts w:ascii="Calibri" w:eastAsia="Calibri" w:hAnsi="Calibri" w:cs="Calibri"/>
        </w:rPr>
        <w:t>5</w:t>
      </w:r>
      <w:r w:rsidR="00461BBF" w:rsidRPr="008E442B">
        <w:rPr>
          <w:rFonts w:ascii="Calibri" w:eastAsia="Calibri" w:hAnsi="Calibri" w:cs="Calibri"/>
        </w:rPr>
        <w:t>, 20</w:t>
      </w:r>
      <w:r w:rsidR="00893183">
        <w:rPr>
          <w:rFonts w:ascii="Calibri" w:eastAsia="Calibri" w:hAnsi="Calibri" w:cs="Calibri"/>
        </w:rPr>
        <w:t>21</w:t>
      </w:r>
      <w:r w:rsidR="00461BBF" w:rsidRPr="008E442B">
        <w:rPr>
          <w:rFonts w:ascii="Calibri" w:eastAsia="Calibri" w:hAnsi="Calibri" w:cs="Calibri"/>
        </w:rPr>
        <w:t xml:space="preserve"> – Perform</w:t>
      </w:r>
      <w:r w:rsidR="00BC4CF4">
        <w:rPr>
          <w:rFonts w:ascii="Calibri" w:eastAsia="Calibri" w:hAnsi="Calibri" w:cs="Calibri"/>
        </w:rPr>
        <w:t>ance Shipping Inc. (NASDAQ: PSHG</w:t>
      </w:r>
      <w:r w:rsidR="0047391A">
        <w:rPr>
          <w:rFonts w:ascii="Calibri" w:eastAsia="Calibri" w:hAnsi="Calibri" w:cs="Calibri"/>
        </w:rPr>
        <w:t xml:space="preserve">) </w:t>
      </w:r>
      <w:r w:rsidR="00461BBF" w:rsidRPr="008E442B">
        <w:rPr>
          <w:rFonts w:ascii="Calibri" w:eastAsia="Calibri" w:hAnsi="Calibri" w:cs="Calibri"/>
        </w:rPr>
        <w:t xml:space="preserve">(the “Company”), a global shipping company specializing in the ownership of </w:t>
      </w:r>
      <w:r w:rsidR="000512BA">
        <w:rPr>
          <w:rFonts w:ascii="Calibri" w:eastAsia="Calibri" w:hAnsi="Calibri" w:cs="Calibri"/>
        </w:rPr>
        <w:t xml:space="preserve">tanker </w:t>
      </w:r>
      <w:r w:rsidR="00461BBF" w:rsidRPr="008E442B">
        <w:rPr>
          <w:rFonts w:ascii="Calibri" w:eastAsia="Calibri" w:hAnsi="Calibri" w:cs="Calibri"/>
        </w:rPr>
        <w:t>ve</w:t>
      </w:r>
      <w:r w:rsidR="00461BBF">
        <w:rPr>
          <w:rFonts w:ascii="Calibri" w:eastAsia="Calibri" w:hAnsi="Calibri" w:cs="Calibri"/>
        </w:rPr>
        <w:t xml:space="preserve">ssels, today reported </w:t>
      </w:r>
      <w:r w:rsidR="00557B6D">
        <w:rPr>
          <w:rFonts w:ascii="Calibri" w:eastAsia="Calibri" w:hAnsi="Calibri" w:cs="Calibri"/>
        </w:rPr>
        <w:t xml:space="preserve">a </w:t>
      </w:r>
      <w:r w:rsidR="00461BBF">
        <w:rPr>
          <w:rFonts w:ascii="Calibri" w:eastAsia="Calibri" w:hAnsi="Calibri" w:cs="Calibri"/>
        </w:rPr>
        <w:t xml:space="preserve">net </w:t>
      </w:r>
      <w:r w:rsidR="00AD3B7F">
        <w:rPr>
          <w:rFonts w:ascii="Calibri" w:eastAsia="Calibri" w:hAnsi="Calibri" w:cs="Calibri"/>
        </w:rPr>
        <w:t>loss</w:t>
      </w:r>
      <w:r w:rsidR="00DF2DF5">
        <w:rPr>
          <w:rFonts w:ascii="Calibri" w:eastAsia="Calibri" w:hAnsi="Calibri" w:cs="Calibri"/>
        </w:rPr>
        <w:t xml:space="preserve"> and net </w:t>
      </w:r>
      <w:r w:rsidR="00AD3B7F">
        <w:rPr>
          <w:rFonts w:ascii="Calibri" w:eastAsia="Calibri" w:hAnsi="Calibri" w:cs="Calibri"/>
        </w:rPr>
        <w:t>loss</w:t>
      </w:r>
      <w:r w:rsidR="00DF2DF5">
        <w:rPr>
          <w:rFonts w:ascii="Calibri" w:eastAsia="Calibri" w:hAnsi="Calibri" w:cs="Calibri"/>
        </w:rPr>
        <w:t xml:space="preserve"> </w:t>
      </w:r>
      <w:r w:rsidR="00F3740F" w:rsidRPr="00F3740F">
        <w:rPr>
          <w:rFonts w:ascii="Calibri" w:eastAsia="Calibri" w:hAnsi="Calibri" w:cs="Calibri"/>
        </w:rPr>
        <w:t>from continuing and discontinued operations</w:t>
      </w:r>
      <w:r w:rsidR="00F3740F">
        <w:rPr>
          <w:rFonts w:ascii="Calibri" w:eastAsia="Calibri" w:hAnsi="Calibri" w:cs="Calibri"/>
        </w:rPr>
        <w:t xml:space="preserve"> </w:t>
      </w:r>
      <w:r w:rsidR="00DF2DF5">
        <w:rPr>
          <w:rFonts w:ascii="Calibri" w:eastAsia="Calibri" w:hAnsi="Calibri" w:cs="Calibri"/>
        </w:rPr>
        <w:t>attributable to common stockholders</w:t>
      </w:r>
      <w:r w:rsidR="00461BBF" w:rsidRPr="008E442B">
        <w:rPr>
          <w:rFonts w:ascii="Calibri" w:eastAsia="Calibri" w:hAnsi="Calibri" w:cs="Calibri"/>
        </w:rPr>
        <w:t xml:space="preserve"> of $2.5 million for the fourth quarter of 2020, compared to a net loss </w:t>
      </w:r>
      <w:r w:rsidR="00DF2DF5">
        <w:rPr>
          <w:rFonts w:ascii="Calibri" w:eastAsia="Calibri" w:hAnsi="Calibri" w:cs="Calibri"/>
        </w:rPr>
        <w:t xml:space="preserve">and net loss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00DF2DF5">
        <w:rPr>
          <w:rFonts w:ascii="Calibri" w:eastAsia="Calibri" w:hAnsi="Calibri" w:cs="Calibri"/>
        </w:rPr>
        <w:t>attributable to common stockholders</w:t>
      </w:r>
      <w:r w:rsidR="00DF2DF5" w:rsidRPr="008E442B">
        <w:rPr>
          <w:rFonts w:ascii="Calibri" w:eastAsia="Calibri" w:hAnsi="Calibri" w:cs="Calibri"/>
        </w:rPr>
        <w:t xml:space="preserve"> </w:t>
      </w:r>
      <w:r w:rsidR="00461BBF" w:rsidRPr="008E442B">
        <w:rPr>
          <w:rFonts w:ascii="Calibri" w:eastAsia="Calibri" w:hAnsi="Calibri" w:cs="Calibri"/>
        </w:rPr>
        <w:t>of $12.2</w:t>
      </w:r>
      <w:r w:rsidR="00F14F3A">
        <w:rPr>
          <w:rFonts w:ascii="Calibri" w:eastAsia="Calibri" w:hAnsi="Calibri" w:cs="Calibri"/>
        </w:rPr>
        <w:t xml:space="preserve"> million for the same period in</w:t>
      </w:r>
      <w:r w:rsidR="00461BBF" w:rsidRPr="008E442B">
        <w:rPr>
          <w:rFonts w:ascii="Calibri" w:eastAsia="Calibri" w:hAnsi="Calibri" w:cs="Calibri"/>
        </w:rPr>
        <w:t xml:space="preserve"> 2019. </w:t>
      </w:r>
      <w:r w:rsidR="000E1180">
        <w:rPr>
          <w:rFonts w:ascii="Calibri" w:eastAsia="Calibri" w:hAnsi="Calibri" w:cs="Calibri"/>
        </w:rPr>
        <w:t xml:space="preserve"> </w:t>
      </w:r>
      <w:r w:rsidR="00AD3B7F">
        <w:rPr>
          <w:rFonts w:ascii="Calibri" w:eastAsia="Calibri" w:hAnsi="Calibri" w:cs="Calibri"/>
        </w:rPr>
        <w:t>Loss</w:t>
      </w:r>
      <w:r w:rsidR="000E1180">
        <w:rPr>
          <w:rFonts w:ascii="Calibri" w:eastAsia="Calibri" w:hAnsi="Calibri" w:cs="Calibri"/>
        </w:rPr>
        <w:t xml:space="preserve"> per share</w:t>
      </w:r>
      <w:r w:rsidR="00AD3B7F">
        <w:rPr>
          <w:rFonts w:ascii="Calibri" w:eastAsia="Calibri" w:hAnsi="Calibri" w:cs="Calibri"/>
        </w:rPr>
        <w:t xml:space="preserve"> </w:t>
      </w:r>
      <w:r w:rsidR="00DF2DF5" w:rsidRPr="008E442B">
        <w:rPr>
          <w:rFonts w:ascii="Calibri" w:eastAsia="Calibri" w:hAnsi="Calibri" w:cs="Calibri"/>
        </w:rPr>
        <w:t>for the fourth quarter</w:t>
      </w:r>
      <w:r w:rsidR="00DF2DF5">
        <w:rPr>
          <w:rFonts w:ascii="Calibri" w:eastAsia="Calibri" w:hAnsi="Calibri" w:cs="Calibri"/>
        </w:rPr>
        <w:t xml:space="preserve"> of 2020 </w:t>
      </w:r>
      <w:r w:rsidR="00AD3B7F">
        <w:rPr>
          <w:rFonts w:ascii="Calibri" w:eastAsia="Calibri" w:hAnsi="Calibri" w:cs="Calibri"/>
        </w:rPr>
        <w:t>was</w:t>
      </w:r>
      <w:r w:rsidR="00DF2DF5">
        <w:rPr>
          <w:rFonts w:ascii="Calibri" w:eastAsia="Calibri" w:hAnsi="Calibri" w:cs="Calibri"/>
        </w:rPr>
        <w:t xml:space="preserve"> </w:t>
      </w:r>
      <w:r w:rsidR="000006D9">
        <w:rPr>
          <w:rFonts w:ascii="Calibri" w:eastAsia="Calibri" w:hAnsi="Calibri" w:cs="Calibri"/>
        </w:rPr>
        <w:t>$0.51</w:t>
      </w:r>
      <w:r w:rsidR="00DF2DF5">
        <w:rPr>
          <w:rFonts w:ascii="Calibri" w:eastAsia="Calibri" w:hAnsi="Calibri" w:cs="Calibri"/>
        </w:rPr>
        <w:t>, while</w:t>
      </w:r>
      <w:r w:rsidR="000E1180">
        <w:rPr>
          <w:rFonts w:ascii="Calibri" w:eastAsia="Calibri" w:hAnsi="Calibri" w:cs="Calibri"/>
        </w:rPr>
        <w:t xml:space="preserve"> loss per share</w:t>
      </w:r>
      <w:r w:rsidR="00DF2DF5">
        <w:rPr>
          <w:rFonts w:ascii="Calibri" w:eastAsia="Calibri" w:hAnsi="Calibri" w:cs="Calibri"/>
        </w:rPr>
        <w:t xml:space="preserve"> </w:t>
      </w:r>
      <w:r w:rsidR="00DF2DF5" w:rsidRPr="008E442B">
        <w:rPr>
          <w:rFonts w:ascii="Calibri" w:eastAsia="Calibri" w:hAnsi="Calibri" w:cs="Calibri"/>
        </w:rPr>
        <w:t>for the fourth quarter</w:t>
      </w:r>
      <w:r w:rsidR="00DF2DF5">
        <w:rPr>
          <w:rFonts w:ascii="Calibri" w:eastAsia="Calibri" w:hAnsi="Calibri" w:cs="Calibri"/>
        </w:rPr>
        <w:t xml:space="preserve"> of 2019 was</w:t>
      </w:r>
      <w:r w:rsidR="000E1180">
        <w:rPr>
          <w:rFonts w:ascii="Calibri" w:eastAsia="Calibri" w:hAnsi="Calibri" w:cs="Calibri"/>
        </w:rPr>
        <w:t xml:space="preserve"> </w:t>
      </w:r>
      <w:r w:rsidR="000006D9">
        <w:rPr>
          <w:rFonts w:ascii="Calibri" w:eastAsia="Calibri" w:hAnsi="Calibri" w:cs="Calibri"/>
        </w:rPr>
        <w:t>$3.17</w:t>
      </w:r>
      <w:r w:rsidR="000E1180">
        <w:rPr>
          <w:rFonts w:ascii="Calibri" w:eastAsia="Calibri" w:hAnsi="Calibri" w:cs="Calibri"/>
        </w:rPr>
        <w:t>.</w:t>
      </w:r>
    </w:p>
    <w:p w14:paraId="10A04642" w14:textId="77777777" w:rsidR="001F39FE" w:rsidRDefault="005C5928" w:rsidP="00461BBF">
      <w:pPr>
        <w:pStyle w:val="Normal0"/>
        <w:ind w:right="-82"/>
        <w:jc w:val="both"/>
        <w:rPr>
          <w:rFonts w:ascii="Calibri" w:eastAsia="Calibri" w:hAnsi="Calibri" w:cs="Calibri"/>
        </w:rPr>
      </w:pPr>
      <w:r>
        <w:rPr>
          <w:rFonts w:ascii="Calibri" w:eastAsia="Calibri" w:hAnsi="Calibri" w:cs="Calibri"/>
        </w:rPr>
        <w:t>Voyage and t</w:t>
      </w:r>
      <w:r w:rsidRPr="003277BB">
        <w:rPr>
          <w:rFonts w:ascii="Calibri" w:eastAsia="Calibri" w:hAnsi="Calibri" w:cs="Calibri"/>
        </w:rPr>
        <w:t xml:space="preserve">ime charter revenues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Pr="003277BB">
        <w:rPr>
          <w:rFonts w:ascii="Calibri" w:eastAsia="Calibri" w:hAnsi="Calibri" w:cs="Calibri"/>
        </w:rPr>
        <w:t xml:space="preserve">were $7.2 million </w:t>
      </w:r>
      <w:r>
        <w:rPr>
          <w:rFonts w:ascii="Calibri" w:eastAsia="Calibri" w:hAnsi="Calibri" w:cs="Calibri"/>
        </w:rPr>
        <w:t>(</w:t>
      </w:r>
      <w:r w:rsidRPr="003277BB">
        <w:rPr>
          <w:rFonts w:ascii="Calibri" w:eastAsia="Calibri" w:hAnsi="Calibri" w:cs="Calibri"/>
        </w:rPr>
        <w:t>$3.9</w:t>
      </w:r>
      <w:r>
        <w:rPr>
          <w:rFonts w:ascii="Calibri" w:eastAsia="Calibri" w:hAnsi="Calibri" w:cs="Calibri"/>
        </w:rPr>
        <w:t xml:space="preserve"> million </w:t>
      </w:r>
      <w:r w:rsidR="00920749">
        <w:rPr>
          <w:rFonts w:ascii="Calibri" w:eastAsia="Calibri" w:hAnsi="Calibri" w:cs="Calibri"/>
        </w:rPr>
        <w:t xml:space="preserve">net of voyage expenses) </w:t>
      </w:r>
      <w:r w:rsidRPr="003277BB">
        <w:rPr>
          <w:rFonts w:ascii="Calibri" w:eastAsia="Calibri" w:hAnsi="Calibri" w:cs="Calibri"/>
        </w:rPr>
        <w:t xml:space="preserve">for the fourth quarter of 2020, compared to $10.6 million </w:t>
      </w:r>
      <w:r>
        <w:rPr>
          <w:rFonts w:ascii="Calibri" w:eastAsia="Calibri" w:hAnsi="Calibri" w:cs="Calibri"/>
        </w:rPr>
        <w:t>(</w:t>
      </w:r>
      <w:r w:rsidRPr="003277BB">
        <w:rPr>
          <w:rFonts w:ascii="Calibri" w:eastAsia="Calibri" w:hAnsi="Calibri" w:cs="Calibri"/>
        </w:rPr>
        <w:t>$8.5</w:t>
      </w:r>
      <w:r w:rsidR="00D22EEE">
        <w:rPr>
          <w:rFonts w:ascii="Calibri" w:eastAsia="Calibri" w:hAnsi="Calibri" w:cs="Calibri"/>
        </w:rPr>
        <w:t xml:space="preserve"> </w:t>
      </w:r>
      <w:r w:rsidR="00920749">
        <w:rPr>
          <w:rFonts w:ascii="Calibri" w:eastAsia="Calibri" w:hAnsi="Calibri" w:cs="Calibri"/>
        </w:rPr>
        <w:t xml:space="preserve">million net of voyage expenses) </w:t>
      </w:r>
      <w:r w:rsidR="003E3298">
        <w:rPr>
          <w:rFonts w:ascii="Calibri" w:eastAsia="Calibri" w:hAnsi="Calibri" w:cs="Calibri"/>
        </w:rPr>
        <w:t>for the same period in</w:t>
      </w:r>
      <w:r w:rsidRPr="003277BB">
        <w:rPr>
          <w:rFonts w:ascii="Calibri" w:eastAsia="Calibri" w:hAnsi="Calibri" w:cs="Calibri"/>
        </w:rPr>
        <w:t xml:space="preserve"> 2019</w:t>
      </w:r>
      <w:r w:rsidR="004B61E2">
        <w:rPr>
          <w:rFonts w:ascii="Calibri" w:eastAsia="Calibri" w:hAnsi="Calibri" w:cs="Calibri"/>
        </w:rPr>
        <w:t>. This de</w:t>
      </w:r>
      <w:r w:rsidR="004A6E53">
        <w:rPr>
          <w:rFonts w:ascii="Calibri" w:eastAsia="Calibri" w:hAnsi="Calibri" w:cs="Calibri"/>
        </w:rPr>
        <w:t>crease was</w:t>
      </w:r>
      <w:r w:rsidRPr="003277BB">
        <w:rPr>
          <w:rFonts w:ascii="Calibri" w:eastAsia="Calibri" w:hAnsi="Calibri" w:cs="Calibri"/>
        </w:rPr>
        <w:t xml:space="preserve"> </w:t>
      </w:r>
      <w:r w:rsidR="000C50A2">
        <w:rPr>
          <w:rFonts w:ascii="Calibri" w:eastAsia="Calibri" w:hAnsi="Calibri" w:cs="Calibri"/>
        </w:rPr>
        <w:t xml:space="preserve">mainly </w:t>
      </w:r>
      <w:r w:rsidR="00920749">
        <w:rPr>
          <w:rFonts w:ascii="Calibri" w:eastAsia="Calibri" w:hAnsi="Calibri" w:cs="Calibri"/>
        </w:rPr>
        <w:t>attributable to the</w:t>
      </w:r>
      <w:r w:rsidRPr="003277BB">
        <w:rPr>
          <w:rFonts w:ascii="Calibri" w:eastAsia="Calibri" w:hAnsi="Calibri" w:cs="Calibri"/>
        </w:rPr>
        <w:t xml:space="preserve"> </w:t>
      </w:r>
      <w:r w:rsidR="00726C66">
        <w:rPr>
          <w:rFonts w:ascii="Calibri" w:eastAsia="Calibri" w:hAnsi="Calibri" w:cs="Calibri"/>
        </w:rPr>
        <w:t>de</w:t>
      </w:r>
      <w:r>
        <w:rPr>
          <w:rFonts w:ascii="Calibri" w:eastAsia="Calibri" w:hAnsi="Calibri" w:cs="Calibri"/>
        </w:rPr>
        <w:t>creased</w:t>
      </w:r>
      <w:r w:rsidR="00920749">
        <w:rPr>
          <w:rFonts w:ascii="Calibri" w:eastAsia="Calibri" w:hAnsi="Calibri" w:cs="Calibri"/>
        </w:rPr>
        <w:t xml:space="preserve"> time-charter equivalent rates (</w:t>
      </w:r>
      <w:r>
        <w:rPr>
          <w:rFonts w:ascii="Calibri" w:eastAsia="Calibri" w:hAnsi="Calibri" w:cs="Calibri"/>
        </w:rPr>
        <w:t>TCE rate</w:t>
      </w:r>
      <w:r w:rsidR="00920749">
        <w:rPr>
          <w:rFonts w:ascii="Calibri" w:eastAsia="Calibri" w:hAnsi="Calibri" w:cs="Calibri"/>
        </w:rPr>
        <w:t xml:space="preserve">s) </w:t>
      </w:r>
      <w:r w:rsidR="00726C66">
        <w:rPr>
          <w:rFonts w:ascii="Calibri" w:eastAsia="Calibri" w:hAnsi="Calibri" w:cs="Calibri"/>
        </w:rPr>
        <w:t>achieved during the quarter as a result of the depressed market conditions</w:t>
      </w:r>
      <w:r w:rsidR="002920E9">
        <w:rPr>
          <w:rFonts w:ascii="Calibri" w:eastAsia="Calibri" w:hAnsi="Calibri" w:cs="Calibri"/>
        </w:rPr>
        <w:t xml:space="preserve">. </w:t>
      </w:r>
      <w:r w:rsidR="009734C0">
        <w:rPr>
          <w:rFonts w:ascii="Calibri" w:eastAsia="Calibri" w:hAnsi="Calibri" w:cs="Calibri"/>
        </w:rPr>
        <w:t>Fleetwide, t</w:t>
      </w:r>
      <w:r w:rsidR="00920749">
        <w:rPr>
          <w:rFonts w:ascii="Calibri" w:eastAsia="Calibri" w:hAnsi="Calibri" w:cs="Calibri"/>
        </w:rPr>
        <w:t xml:space="preserve">he average time charter equivalent rate </w:t>
      </w:r>
      <w:r w:rsidR="00920749" w:rsidRPr="008E442B">
        <w:rPr>
          <w:rFonts w:ascii="Calibri" w:eastAsia="Calibri" w:hAnsi="Calibri" w:cs="Calibri"/>
        </w:rPr>
        <w:t>for the fourth quarter of 2020</w:t>
      </w:r>
      <w:r w:rsidR="001C7A73">
        <w:rPr>
          <w:rFonts w:ascii="Calibri" w:eastAsia="Calibri" w:hAnsi="Calibri" w:cs="Calibri"/>
        </w:rPr>
        <w:t xml:space="preserve"> was </w:t>
      </w:r>
      <w:r w:rsidRPr="008E442B">
        <w:rPr>
          <w:rFonts w:ascii="Calibri" w:eastAsia="Calibri" w:hAnsi="Calibri" w:cs="Calibri"/>
        </w:rPr>
        <w:t>$10,114</w:t>
      </w:r>
      <w:r w:rsidR="00920749">
        <w:rPr>
          <w:rFonts w:ascii="Calibri" w:eastAsia="Calibri" w:hAnsi="Calibri" w:cs="Calibri"/>
        </w:rPr>
        <w:t>, compared with</w:t>
      </w:r>
      <w:r w:rsidR="00794C3C">
        <w:rPr>
          <w:rFonts w:ascii="Calibri" w:eastAsia="Calibri" w:hAnsi="Calibri" w:cs="Calibri"/>
        </w:rPr>
        <w:t xml:space="preserve"> an average rate of</w:t>
      </w:r>
      <w:r w:rsidR="00920749">
        <w:rPr>
          <w:rFonts w:ascii="Calibri" w:eastAsia="Calibri" w:hAnsi="Calibri" w:cs="Calibri"/>
        </w:rPr>
        <w:t xml:space="preserve"> </w:t>
      </w:r>
      <w:r w:rsidRPr="008E442B">
        <w:rPr>
          <w:rFonts w:ascii="Calibri" w:eastAsia="Calibri" w:hAnsi="Calibri" w:cs="Calibri"/>
        </w:rPr>
        <w:t>$23,153</w:t>
      </w:r>
      <w:r>
        <w:rPr>
          <w:rFonts w:ascii="Calibri" w:eastAsia="Calibri" w:hAnsi="Calibri" w:cs="Calibri"/>
        </w:rPr>
        <w:t xml:space="preserve"> </w:t>
      </w:r>
      <w:r w:rsidR="00920749">
        <w:rPr>
          <w:rFonts w:ascii="Calibri" w:eastAsia="Calibri" w:hAnsi="Calibri" w:cs="Calibri"/>
        </w:rPr>
        <w:t xml:space="preserve">for the same period of 2019. </w:t>
      </w:r>
      <w:r w:rsidR="00DB09ED">
        <w:rPr>
          <w:rFonts w:ascii="Calibri" w:eastAsia="Calibri" w:hAnsi="Calibri" w:cs="Calibri"/>
        </w:rPr>
        <w:t xml:space="preserve">During </w:t>
      </w:r>
      <w:r w:rsidR="00920749">
        <w:rPr>
          <w:rFonts w:ascii="Calibri" w:eastAsia="Calibri" w:hAnsi="Calibri" w:cs="Calibri"/>
        </w:rPr>
        <w:t xml:space="preserve">the </w:t>
      </w:r>
      <w:r w:rsidR="004B61E2">
        <w:rPr>
          <w:rFonts w:ascii="Calibri" w:eastAsia="Calibri" w:hAnsi="Calibri" w:cs="Calibri"/>
        </w:rPr>
        <w:t>fourth</w:t>
      </w:r>
      <w:r w:rsidR="00920749">
        <w:rPr>
          <w:rFonts w:ascii="Calibri" w:eastAsia="Calibri" w:hAnsi="Calibri" w:cs="Calibri"/>
        </w:rPr>
        <w:t xml:space="preserve"> quarter of 2020, net cash </w:t>
      </w:r>
      <w:r w:rsidR="00DB09ED">
        <w:rPr>
          <w:rFonts w:ascii="Calibri" w:eastAsia="Calibri" w:hAnsi="Calibri" w:cs="Calibri"/>
        </w:rPr>
        <w:t>provided by</w:t>
      </w:r>
      <w:r w:rsidR="00920749">
        <w:rPr>
          <w:rFonts w:ascii="Calibri" w:eastAsia="Calibri" w:hAnsi="Calibri" w:cs="Calibri"/>
        </w:rPr>
        <w:t xml:space="preserve"> operating activities </w:t>
      </w:r>
      <w:r w:rsidR="006133E8">
        <w:rPr>
          <w:rFonts w:ascii="Calibri" w:eastAsia="Calibri" w:hAnsi="Calibri" w:cs="Calibri"/>
        </w:rPr>
        <w:t>of</w:t>
      </w:r>
      <w:r w:rsidR="006133E8" w:rsidRPr="00F3740F">
        <w:rPr>
          <w:rFonts w:ascii="Calibri" w:eastAsia="Calibri" w:hAnsi="Calibri" w:cs="Calibri"/>
        </w:rPr>
        <w:t xml:space="preserve"> continuing and discontinued operations</w:t>
      </w:r>
      <w:r w:rsidR="006133E8">
        <w:rPr>
          <w:rFonts w:ascii="Calibri" w:eastAsia="Calibri" w:hAnsi="Calibri" w:cs="Calibri"/>
        </w:rPr>
        <w:t xml:space="preserve"> </w:t>
      </w:r>
      <w:r w:rsidR="00920749">
        <w:rPr>
          <w:rFonts w:ascii="Calibri" w:eastAsia="Calibri" w:hAnsi="Calibri" w:cs="Calibri"/>
        </w:rPr>
        <w:t xml:space="preserve">was </w:t>
      </w:r>
      <w:r w:rsidRPr="008E442B">
        <w:rPr>
          <w:rFonts w:ascii="Calibri" w:eastAsia="Calibri" w:hAnsi="Calibri" w:cs="Calibri"/>
        </w:rPr>
        <w:t>$0.9</w:t>
      </w:r>
      <w:r>
        <w:rPr>
          <w:rFonts w:ascii="Calibri" w:eastAsia="Calibri" w:hAnsi="Calibri" w:cs="Calibri"/>
        </w:rPr>
        <w:t xml:space="preserve"> </w:t>
      </w:r>
      <w:r w:rsidR="00920749">
        <w:rPr>
          <w:rFonts w:ascii="Calibri" w:eastAsia="Calibri" w:hAnsi="Calibri" w:cs="Calibri"/>
        </w:rPr>
        <w:t xml:space="preserve">million, compared with </w:t>
      </w:r>
      <w:r w:rsidR="00D22EEE">
        <w:rPr>
          <w:rFonts w:ascii="Calibri" w:eastAsia="Calibri" w:hAnsi="Calibri" w:cs="Calibri"/>
        </w:rPr>
        <w:t>net cash used in operating activities</w:t>
      </w:r>
      <w:r w:rsidR="001D64F5">
        <w:rPr>
          <w:rFonts w:ascii="Calibri" w:eastAsia="Calibri" w:hAnsi="Calibri" w:cs="Calibri"/>
        </w:rPr>
        <w:t xml:space="preserve"> of</w:t>
      </w:r>
      <w:r w:rsidR="001D64F5" w:rsidRPr="00F3740F">
        <w:rPr>
          <w:rFonts w:ascii="Calibri" w:eastAsia="Calibri" w:hAnsi="Calibri" w:cs="Calibri"/>
        </w:rPr>
        <w:t xml:space="preserve"> continuing and discontinued operations</w:t>
      </w:r>
      <w:r w:rsidR="00D22EEE">
        <w:rPr>
          <w:rFonts w:ascii="Calibri" w:eastAsia="Calibri" w:hAnsi="Calibri" w:cs="Calibri"/>
        </w:rPr>
        <w:t xml:space="preserve"> of </w:t>
      </w:r>
      <w:r w:rsidRPr="008E442B">
        <w:rPr>
          <w:rFonts w:ascii="Calibri" w:eastAsia="Calibri" w:hAnsi="Calibri" w:cs="Calibri"/>
        </w:rPr>
        <w:t>$0.3</w:t>
      </w:r>
      <w:r>
        <w:rPr>
          <w:rFonts w:ascii="Calibri" w:eastAsia="Calibri" w:hAnsi="Calibri" w:cs="Calibri"/>
        </w:rPr>
        <w:t xml:space="preserve"> million </w:t>
      </w:r>
      <w:r w:rsidR="00920749">
        <w:rPr>
          <w:rFonts w:ascii="Calibri" w:eastAsia="Calibri" w:hAnsi="Calibri" w:cs="Calibri"/>
        </w:rPr>
        <w:t xml:space="preserve">for the </w:t>
      </w:r>
      <w:r w:rsidR="004B61E2">
        <w:rPr>
          <w:rFonts w:ascii="Calibri" w:eastAsia="Calibri" w:hAnsi="Calibri" w:cs="Calibri"/>
        </w:rPr>
        <w:t>fourth</w:t>
      </w:r>
      <w:r w:rsidR="00920749">
        <w:rPr>
          <w:rFonts w:ascii="Calibri" w:eastAsia="Calibri" w:hAnsi="Calibri" w:cs="Calibri"/>
        </w:rPr>
        <w:t xml:space="preserve"> quarter of 2019.</w:t>
      </w:r>
    </w:p>
    <w:p w14:paraId="6FB3FE55" w14:textId="77777777" w:rsidR="005A44E4" w:rsidRPr="00025225" w:rsidRDefault="005C5928" w:rsidP="00461BBF">
      <w:pPr>
        <w:pStyle w:val="Normal0"/>
        <w:ind w:right="-82"/>
        <w:jc w:val="both"/>
        <w:rPr>
          <w:rFonts w:ascii="Calibri" w:eastAsia="Calibri" w:hAnsi="Calibri" w:cs="Calibri"/>
        </w:rPr>
      </w:pPr>
      <w:r>
        <w:rPr>
          <w:rFonts w:ascii="Calibri" w:eastAsia="Calibri" w:hAnsi="Calibri" w:cs="Calibri"/>
        </w:rPr>
        <w:t>Net income</w:t>
      </w:r>
      <w:r w:rsidR="001D64F5">
        <w:rPr>
          <w:rFonts w:ascii="Calibri" w:eastAsia="Calibri" w:hAnsi="Calibri" w:cs="Calibri"/>
        </w:rPr>
        <w:t xml:space="preserve"> </w:t>
      </w:r>
      <w:r w:rsidR="001D64F5" w:rsidRPr="00F3740F">
        <w:rPr>
          <w:rFonts w:ascii="Calibri" w:eastAsia="Calibri" w:hAnsi="Calibri" w:cs="Calibri"/>
        </w:rPr>
        <w:t>from continuing and discontinued operations</w:t>
      </w:r>
      <w:r w:rsidRPr="008E442B">
        <w:rPr>
          <w:rFonts w:ascii="Calibri" w:eastAsia="Calibri" w:hAnsi="Calibri" w:cs="Calibri"/>
        </w:rPr>
        <w:t xml:space="preserve"> </w:t>
      </w:r>
      <w:r w:rsidR="008A5EE2">
        <w:rPr>
          <w:rFonts w:ascii="Calibri" w:eastAsia="Calibri" w:hAnsi="Calibri" w:cs="Calibri"/>
        </w:rPr>
        <w:t xml:space="preserve">for the </w:t>
      </w:r>
      <w:r w:rsidR="001B3181">
        <w:rPr>
          <w:rFonts w:ascii="Calibri" w:eastAsia="Calibri" w:hAnsi="Calibri" w:cs="Calibri"/>
        </w:rPr>
        <w:t>year ended December 31,</w:t>
      </w:r>
      <w:r w:rsidR="008A5EE2">
        <w:rPr>
          <w:rFonts w:ascii="Calibri" w:eastAsia="Calibri" w:hAnsi="Calibri" w:cs="Calibri"/>
        </w:rPr>
        <w:t xml:space="preserve"> 2020</w:t>
      </w:r>
      <w:r w:rsidR="008310D8">
        <w:rPr>
          <w:rFonts w:ascii="Calibri" w:eastAsia="Calibri" w:hAnsi="Calibri" w:cs="Calibri"/>
        </w:rPr>
        <w:t>,</w:t>
      </w:r>
      <w:r w:rsidR="008A5EE2">
        <w:rPr>
          <w:rFonts w:ascii="Calibri" w:eastAsia="Calibri" w:hAnsi="Calibri" w:cs="Calibri"/>
        </w:rPr>
        <w:t xml:space="preserve"> amounted to $3.8 million, </w:t>
      </w:r>
      <w:r w:rsidRPr="008E442B">
        <w:rPr>
          <w:rFonts w:ascii="Calibri" w:eastAsia="Calibri" w:hAnsi="Calibri" w:cs="Calibri"/>
        </w:rPr>
        <w:t xml:space="preserve">compared to a net loss </w:t>
      </w:r>
      <w:r w:rsidR="001D64F5" w:rsidRPr="00F3740F">
        <w:rPr>
          <w:rFonts w:ascii="Calibri" w:eastAsia="Calibri" w:hAnsi="Calibri" w:cs="Calibri"/>
        </w:rPr>
        <w:t>from continuing and discontinued operations</w:t>
      </w:r>
      <w:r w:rsidR="001D64F5" w:rsidRPr="008E442B">
        <w:rPr>
          <w:rFonts w:ascii="Calibri" w:eastAsia="Calibri" w:hAnsi="Calibri" w:cs="Calibri"/>
        </w:rPr>
        <w:t xml:space="preserve"> </w:t>
      </w:r>
      <w:r w:rsidRPr="008E442B">
        <w:rPr>
          <w:rFonts w:ascii="Calibri" w:eastAsia="Calibri" w:hAnsi="Calibri" w:cs="Calibri"/>
        </w:rPr>
        <w:t xml:space="preserve">of </w:t>
      </w:r>
      <w:r w:rsidR="008A5EE2">
        <w:rPr>
          <w:rFonts w:ascii="Calibri" w:eastAsia="Calibri" w:hAnsi="Calibri" w:cs="Calibri"/>
        </w:rPr>
        <w:t xml:space="preserve">$32.1 million for the </w:t>
      </w:r>
      <w:r w:rsidR="001B3181">
        <w:rPr>
          <w:rFonts w:ascii="Calibri" w:eastAsia="Calibri" w:hAnsi="Calibri" w:cs="Calibri"/>
        </w:rPr>
        <w:t>year ended December 31,</w:t>
      </w:r>
      <w:r w:rsidR="008A5EE2">
        <w:rPr>
          <w:rFonts w:ascii="Calibri" w:eastAsia="Calibri" w:hAnsi="Calibri" w:cs="Calibri"/>
        </w:rPr>
        <w:t xml:space="preserve"> 2019</w:t>
      </w:r>
      <w:r w:rsidRPr="008E442B">
        <w:rPr>
          <w:rFonts w:ascii="Calibri" w:eastAsia="Calibri" w:hAnsi="Calibri" w:cs="Calibri"/>
        </w:rPr>
        <w:t xml:space="preserve">. </w:t>
      </w:r>
      <w:r>
        <w:rPr>
          <w:rFonts w:ascii="Calibri" w:eastAsia="Calibri" w:hAnsi="Calibri" w:cs="Calibri"/>
        </w:rPr>
        <w:t xml:space="preserve"> Net income </w:t>
      </w:r>
      <w:r w:rsidR="001D64F5" w:rsidRPr="00F3740F">
        <w:rPr>
          <w:rFonts w:ascii="Calibri" w:eastAsia="Calibri" w:hAnsi="Calibri" w:cs="Calibri"/>
        </w:rPr>
        <w:t>from continuing and discontinued operations</w:t>
      </w:r>
      <w:r w:rsidR="001D64F5" w:rsidRPr="008E442B">
        <w:rPr>
          <w:rFonts w:ascii="Calibri" w:eastAsia="Calibri" w:hAnsi="Calibri" w:cs="Calibri"/>
        </w:rPr>
        <w:t xml:space="preserve"> </w:t>
      </w:r>
      <w:r>
        <w:rPr>
          <w:rFonts w:ascii="Calibri" w:eastAsia="Calibri" w:hAnsi="Calibri" w:cs="Calibri"/>
        </w:rPr>
        <w:t xml:space="preserve">attributable to common stockholders for the </w:t>
      </w:r>
      <w:r w:rsidR="000A1807">
        <w:rPr>
          <w:rFonts w:ascii="Calibri" w:eastAsia="Calibri" w:hAnsi="Calibri" w:cs="Calibri"/>
        </w:rPr>
        <w:t>year ended December 31</w:t>
      </w:r>
      <w:r w:rsidR="008A5EE2">
        <w:rPr>
          <w:rFonts w:ascii="Calibri" w:eastAsia="Calibri" w:hAnsi="Calibri" w:cs="Calibri"/>
        </w:rPr>
        <w:t xml:space="preserve">, </w:t>
      </w:r>
      <w:r>
        <w:rPr>
          <w:rFonts w:ascii="Calibri" w:eastAsia="Calibri" w:hAnsi="Calibri" w:cs="Calibri"/>
        </w:rPr>
        <w:t>2020</w:t>
      </w:r>
      <w:r w:rsidR="00BC1D1C">
        <w:rPr>
          <w:rFonts w:ascii="Calibri" w:eastAsia="Calibri" w:hAnsi="Calibri" w:cs="Calibri"/>
        </w:rPr>
        <w:t>,</w:t>
      </w:r>
      <w:r w:rsidRPr="008E442B">
        <w:rPr>
          <w:rFonts w:ascii="Calibri" w:eastAsia="Calibri" w:hAnsi="Calibri" w:cs="Calibri"/>
        </w:rPr>
        <w:t xml:space="preserve"> </w:t>
      </w:r>
      <w:r w:rsidR="008A5EE2">
        <w:rPr>
          <w:rFonts w:ascii="Calibri" w:eastAsia="Calibri" w:hAnsi="Calibri" w:cs="Calibri"/>
        </w:rPr>
        <w:t>amounted to $</w:t>
      </w:r>
      <w:r>
        <w:rPr>
          <w:rFonts w:ascii="Calibri" w:eastAsia="Calibri" w:hAnsi="Calibri" w:cs="Calibri"/>
        </w:rPr>
        <w:t>5.2 million, due to a one-time gain of $1.5 million derived from the repurchase of the Series C preferred shares, and resulted in earnings per common s</w:t>
      </w:r>
      <w:r w:rsidR="008A5EE2">
        <w:rPr>
          <w:rFonts w:ascii="Calibri" w:eastAsia="Calibri" w:hAnsi="Calibri" w:cs="Calibri"/>
        </w:rPr>
        <w:t>hare, basic and diluted</w:t>
      </w:r>
      <w:r w:rsidR="00F51C70">
        <w:rPr>
          <w:rFonts w:ascii="Calibri" w:eastAsia="Calibri" w:hAnsi="Calibri" w:cs="Calibri"/>
        </w:rPr>
        <w:t>,</w:t>
      </w:r>
      <w:r w:rsidR="008A5EE2">
        <w:rPr>
          <w:rFonts w:ascii="Calibri" w:eastAsia="Calibri" w:hAnsi="Calibri" w:cs="Calibri"/>
        </w:rPr>
        <w:t xml:space="preserve"> of </w:t>
      </w:r>
      <w:r>
        <w:rPr>
          <w:rFonts w:ascii="Calibri" w:eastAsia="Calibri" w:hAnsi="Calibri" w:cs="Calibri"/>
        </w:rPr>
        <w:t>$1.06</w:t>
      </w:r>
      <w:r w:rsidR="0007366A">
        <w:rPr>
          <w:rFonts w:ascii="Calibri" w:eastAsia="Calibri" w:hAnsi="Calibri" w:cs="Calibri"/>
        </w:rPr>
        <w:t xml:space="preserve"> and $</w:t>
      </w:r>
      <w:r>
        <w:rPr>
          <w:rFonts w:ascii="Calibri" w:eastAsia="Calibri" w:hAnsi="Calibri" w:cs="Calibri"/>
        </w:rPr>
        <w:t>1.05</w:t>
      </w:r>
      <w:r w:rsidR="0007366A">
        <w:rPr>
          <w:rFonts w:ascii="Calibri" w:eastAsia="Calibri" w:hAnsi="Calibri" w:cs="Calibri"/>
        </w:rPr>
        <w:t>, respectively</w:t>
      </w:r>
      <w:r>
        <w:rPr>
          <w:rFonts w:ascii="Calibri" w:eastAsia="Calibri" w:hAnsi="Calibri" w:cs="Calibri"/>
        </w:rPr>
        <w:t xml:space="preserve">. Net loss </w:t>
      </w:r>
      <w:r w:rsidR="001D64F5" w:rsidRPr="00F3740F">
        <w:rPr>
          <w:rFonts w:ascii="Calibri" w:eastAsia="Calibri" w:hAnsi="Calibri" w:cs="Calibri"/>
        </w:rPr>
        <w:t>from continuing and discontinued operations</w:t>
      </w:r>
      <w:r w:rsidR="001D64F5" w:rsidRPr="008E442B">
        <w:rPr>
          <w:rFonts w:ascii="Calibri" w:eastAsia="Calibri" w:hAnsi="Calibri" w:cs="Calibri"/>
        </w:rPr>
        <w:t xml:space="preserve"> </w:t>
      </w:r>
      <w:r>
        <w:rPr>
          <w:rFonts w:ascii="Calibri" w:eastAsia="Calibri" w:hAnsi="Calibri" w:cs="Calibri"/>
        </w:rPr>
        <w:t xml:space="preserve">attributable to </w:t>
      </w:r>
      <w:r w:rsidR="0078333D">
        <w:rPr>
          <w:rFonts w:ascii="Calibri" w:eastAsia="Calibri" w:hAnsi="Calibri" w:cs="Calibri"/>
        </w:rPr>
        <w:t xml:space="preserve">common stockholders for the </w:t>
      </w:r>
      <w:r w:rsidR="000A1807">
        <w:rPr>
          <w:rFonts w:ascii="Calibri" w:eastAsia="Calibri" w:hAnsi="Calibri" w:cs="Calibri"/>
        </w:rPr>
        <w:t xml:space="preserve">year </w:t>
      </w:r>
      <w:r w:rsidR="0078333D">
        <w:rPr>
          <w:rFonts w:ascii="Calibri" w:eastAsia="Calibri" w:hAnsi="Calibri" w:cs="Calibri"/>
        </w:rPr>
        <w:t xml:space="preserve">ended </w:t>
      </w:r>
      <w:r w:rsidR="000A1807">
        <w:rPr>
          <w:rFonts w:ascii="Calibri" w:eastAsia="Calibri" w:hAnsi="Calibri" w:cs="Calibri"/>
        </w:rPr>
        <w:t>December 31</w:t>
      </w:r>
      <w:r w:rsidR="008A5EE2">
        <w:rPr>
          <w:rFonts w:ascii="Calibri" w:eastAsia="Calibri" w:hAnsi="Calibri" w:cs="Calibri"/>
        </w:rPr>
        <w:t xml:space="preserve">, </w:t>
      </w:r>
      <w:r w:rsidR="0010474D">
        <w:rPr>
          <w:rFonts w:ascii="Calibri" w:eastAsia="Calibri" w:hAnsi="Calibri" w:cs="Calibri"/>
        </w:rPr>
        <w:t>2019</w:t>
      </w:r>
      <w:r w:rsidR="006F52AC">
        <w:rPr>
          <w:rFonts w:ascii="Calibri" w:eastAsia="Calibri" w:hAnsi="Calibri" w:cs="Calibri"/>
        </w:rPr>
        <w:t>,</w:t>
      </w:r>
      <w:r w:rsidRPr="008E442B">
        <w:rPr>
          <w:rFonts w:ascii="Calibri" w:eastAsia="Calibri" w:hAnsi="Calibri" w:cs="Calibri"/>
        </w:rPr>
        <w:t xml:space="preserve"> </w:t>
      </w:r>
      <w:r>
        <w:rPr>
          <w:rFonts w:ascii="Calibri" w:eastAsia="Calibri" w:hAnsi="Calibri" w:cs="Calibri"/>
        </w:rPr>
        <w:t xml:space="preserve">was </w:t>
      </w:r>
      <w:r w:rsidR="008A5EE2">
        <w:rPr>
          <w:rFonts w:ascii="Calibri" w:eastAsia="Calibri" w:hAnsi="Calibri" w:cs="Calibri"/>
        </w:rPr>
        <w:t>$32.1 million</w:t>
      </w:r>
      <w:r>
        <w:rPr>
          <w:rFonts w:ascii="Calibri" w:eastAsia="Calibri" w:hAnsi="Calibri" w:cs="Calibri"/>
        </w:rPr>
        <w:t>, resulting in a loss per share of $11.19.</w:t>
      </w:r>
    </w:p>
    <w:p w14:paraId="6730F119" w14:textId="77777777" w:rsidR="00771D2A" w:rsidRPr="00035FE5" w:rsidRDefault="005C5928" w:rsidP="00771633">
      <w:pPr>
        <w:pStyle w:val="Normal0"/>
        <w:ind w:right="-82"/>
        <w:jc w:val="both"/>
        <w:rPr>
          <w:rFonts w:ascii="Calibri" w:eastAsia="Calibri" w:hAnsi="Calibri" w:cs="Calibri"/>
          <w:b/>
          <w:u w:val="single"/>
        </w:rPr>
      </w:pPr>
      <w:r>
        <w:rPr>
          <w:rFonts w:ascii="Calibri" w:eastAsia="Calibri" w:hAnsi="Calibri" w:cs="Calibri"/>
          <w:b/>
          <w:u w:val="single"/>
        </w:rPr>
        <w:t>Fourth</w:t>
      </w:r>
      <w:r w:rsidR="006227AC">
        <w:rPr>
          <w:rFonts w:ascii="Calibri" w:eastAsia="Calibri" w:hAnsi="Calibri" w:cs="Calibri"/>
          <w:b/>
          <w:u w:val="single"/>
        </w:rPr>
        <w:t xml:space="preserve"> </w:t>
      </w:r>
      <w:r w:rsidR="001B7402" w:rsidRPr="00035FE5">
        <w:rPr>
          <w:rFonts w:ascii="Calibri" w:eastAsia="Calibri" w:hAnsi="Calibri" w:cs="Calibri"/>
          <w:b/>
          <w:u w:val="single"/>
        </w:rPr>
        <w:t>Quarter</w:t>
      </w:r>
      <w:r w:rsidR="00035FE5">
        <w:rPr>
          <w:rFonts w:ascii="Calibri" w:eastAsia="Calibri" w:hAnsi="Calibri" w:cs="Calibri"/>
          <w:b/>
          <w:u w:val="single"/>
        </w:rPr>
        <w:t xml:space="preserve"> 2020 </w:t>
      </w:r>
      <w:r w:rsidR="00C47751">
        <w:rPr>
          <w:rFonts w:ascii="Calibri" w:eastAsia="Calibri" w:hAnsi="Calibri" w:cs="Calibri"/>
          <w:b/>
          <w:u w:val="single"/>
        </w:rPr>
        <w:t xml:space="preserve">and </w:t>
      </w:r>
      <w:r w:rsidR="0078333D">
        <w:rPr>
          <w:rFonts w:ascii="Calibri" w:eastAsia="Calibri" w:hAnsi="Calibri" w:cs="Calibri"/>
          <w:b/>
          <w:u w:val="single"/>
        </w:rPr>
        <w:t>Subsequent</w:t>
      </w:r>
      <w:r w:rsidR="00C47751">
        <w:rPr>
          <w:rFonts w:ascii="Calibri" w:eastAsia="Calibri" w:hAnsi="Calibri" w:cs="Calibri"/>
          <w:b/>
          <w:u w:val="single"/>
        </w:rPr>
        <w:t xml:space="preserve"> </w:t>
      </w:r>
      <w:r w:rsidR="001B7402" w:rsidRPr="00035FE5">
        <w:rPr>
          <w:rFonts w:ascii="Calibri" w:eastAsia="Calibri" w:hAnsi="Calibri" w:cs="Calibri"/>
          <w:b/>
          <w:u w:val="single"/>
        </w:rPr>
        <w:t>Developments:</w:t>
      </w:r>
    </w:p>
    <w:p w14:paraId="5B9E2D6A" w14:textId="77777777" w:rsidR="0042119D" w:rsidRDefault="005C5928" w:rsidP="00691F00">
      <w:pPr>
        <w:widowControl w:val="0"/>
        <w:numPr>
          <w:ilvl w:val="0"/>
          <w:numId w:val="1"/>
        </w:numPr>
        <w:autoSpaceDE w:val="0"/>
        <w:autoSpaceDN w:val="0"/>
        <w:adjustRightInd w:val="0"/>
        <w:spacing w:after="0"/>
        <w:ind w:left="567" w:hanging="283"/>
        <w:jc w:val="both"/>
        <w:rPr>
          <w:rFonts w:cs="Calibri"/>
          <w:lang w:val="en-US"/>
        </w:rPr>
      </w:pPr>
      <w:r>
        <w:rPr>
          <w:rFonts w:cs="Calibri"/>
          <w:lang w:val="en-US"/>
        </w:rPr>
        <w:t>Appointment of Andreas Michalopoulos as Chief Executive Officer and Anthony Argyropoulos as Chief Financial Officer in October 2020;</w:t>
      </w:r>
    </w:p>
    <w:p w14:paraId="5E411379" w14:textId="77777777" w:rsidR="0042119D" w:rsidRDefault="005C5928" w:rsidP="00691F00">
      <w:pPr>
        <w:widowControl w:val="0"/>
        <w:numPr>
          <w:ilvl w:val="0"/>
          <w:numId w:val="1"/>
        </w:numPr>
        <w:autoSpaceDE w:val="0"/>
        <w:autoSpaceDN w:val="0"/>
        <w:adjustRightInd w:val="0"/>
        <w:spacing w:after="0"/>
        <w:ind w:left="567" w:hanging="283"/>
        <w:jc w:val="both"/>
        <w:rPr>
          <w:rFonts w:cs="Calibri"/>
          <w:lang w:val="en-US"/>
        </w:rPr>
      </w:pPr>
      <w:r>
        <w:rPr>
          <w:rFonts w:cs="Calibri"/>
          <w:lang w:val="en-US"/>
        </w:rPr>
        <w:t>Initiation of new variable quarterly dividend policy and declaration of $0.01 dividend</w:t>
      </w:r>
      <w:r w:rsidR="007B24FC">
        <w:rPr>
          <w:rFonts w:cs="Calibri"/>
          <w:lang w:val="en-US"/>
        </w:rPr>
        <w:t xml:space="preserve"> </w:t>
      </w:r>
      <w:r>
        <w:rPr>
          <w:rFonts w:cs="Calibri"/>
          <w:lang w:val="en-US"/>
        </w:rPr>
        <w:t xml:space="preserve">per share (or $0.1 per share, as adjusted after the one-for-ten reverse stock split) to all shareholders in October 2020; </w:t>
      </w:r>
    </w:p>
    <w:p w14:paraId="0194EC3E" w14:textId="77777777" w:rsidR="0042119D" w:rsidRDefault="005C5928" w:rsidP="00691F00">
      <w:pPr>
        <w:widowControl w:val="0"/>
        <w:numPr>
          <w:ilvl w:val="0"/>
          <w:numId w:val="1"/>
        </w:numPr>
        <w:autoSpaceDE w:val="0"/>
        <w:autoSpaceDN w:val="0"/>
        <w:adjustRightInd w:val="0"/>
        <w:spacing w:after="0"/>
        <w:ind w:left="567" w:hanging="283"/>
        <w:jc w:val="both"/>
        <w:rPr>
          <w:rFonts w:cs="Calibri"/>
          <w:lang w:val="en-US"/>
        </w:rPr>
      </w:pPr>
      <w:r>
        <w:rPr>
          <w:rFonts w:cs="Calibri"/>
          <w:lang w:val="en-US"/>
        </w:rPr>
        <w:lastRenderedPageBreak/>
        <w:t xml:space="preserve">Introduction of new business strategy and posting of the relevant presentation on the Company’s website in October 2020; </w:t>
      </w:r>
    </w:p>
    <w:p w14:paraId="4937AD7C" w14:textId="77777777" w:rsidR="0042119D" w:rsidRDefault="005C5928" w:rsidP="00691F00">
      <w:pPr>
        <w:widowControl w:val="0"/>
        <w:numPr>
          <w:ilvl w:val="0"/>
          <w:numId w:val="1"/>
        </w:numPr>
        <w:autoSpaceDE w:val="0"/>
        <w:autoSpaceDN w:val="0"/>
        <w:adjustRightInd w:val="0"/>
        <w:spacing w:after="0"/>
        <w:ind w:left="567" w:hanging="283"/>
        <w:jc w:val="both"/>
        <w:rPr>
          <w:rFonts w:cs="Calibri"/>
          <w:lang w:val="en-US"/>
        </w:rPr>
      </w:pPr>
      <w:r>
        <w:rPr>
          <w:rFonts w:cs="Calibri"/>
          <w:lang w:val="en-US"/>
        </w:rPr>
        <w:t xml:space="preserve">Effectiveness of </w:t>
      </w:r>
      <w:r w:rsidR="009F60F9">
        <w:rPr>
          <w:rFonts w:cs="Calibri"/>
          <w:lang w:val="en-US"/>
        </w:rPr>
        <w:t xml:space="preserve">a </w:t>
      </w:r>
      <w:r>
        <w:rPr>
          <w:rFonts w:cs="Calibri"/>
          <w:lang w:val="en-US"/>
        </w:rPr>
        <w:t xml:space="preserve">one-for-ten reverse stock split to comply with NASDAQ’s minimum </w:t>
      </w:r>
      <w:r w:rsidR="00A306F4">
        <w:rPr>
          <w:rFonts w:cs="Calibri"/>
          <w:lang w:val="en-US"/>
        </w:rPr>
        <w:t xml:space="preserve">share </w:t>
      </w:r>
      <w:r>
        <w:rPr>
          <w:rFonts w:cs="Calibri"/>
          <w:lang w:val="en-US"/>
        </w:rPr>
        <w:t xml:space="preserve">price rule in November 2020; </w:t>
      </w:r>
    </w:p>
    <w:p w14:paraId="78075944" w14:textId="77777777" w:rsidR="0042119D" w:rsidRDefault="005C5928" w:rsidP="00691F00">
      <w:pPr>
        <w:widowControl w:val="0"/>
        <w:numPr>
          <w:ilvl w:val="0"/>
          <w:numId w:val="1"/>
        </w:numPr>
        <w:autoSpaceDE w:val="0"/>
        <w:autoSpaceDN w:val="0"/>
        <w:adjustRightInd w:val="0"/>
        <w:spacing w:after="0"/>
        <w:ind w:left="567" w:right="-79" w:hanging="283"/>
        <w:jc w:val="both"/>
        <w:rPr>
          <w:rFonts w:cs="Calibri"/>
          <w:lang w:val="en-US"/>
        </w:rPr>
      </w:pPr>
      <w:r>
        <w:rPr>
          <w:rFonts w:cs="Calibri"/>
          <w:lang w:val="en-US"/>
        </w:rPr>
        <w:t>Acq</w:t>
      </w:r>
      <w:r w:rsidR="009F60F9">
        <w:rPr>
          <w:rFonts w:cs="Calibri"/>
          <w:lang w:val="en-US"/>
        </w:rPr>
        <w:t>uisition of 2011-built Aframax t</w:t>
      </w:r>
      <w:r>
        <w:rPr>
          <w:rFonts w:cs="Calibri"/>
          <w:lang w:val="en-US"/>
        </w:rPr>
        <w:t>anker</w:t>
      </w:r>
      <w:r w:rsidR="004A580F">
        <w:rPr>
          <w:rFonts w:cs="Calibri"/>
          <w:lang w:val="en-US"/>
        </w:rPr>
        <w:t xml:space="preserve"> vessel</w:t>
      </w:r>
      <w:r>
        <w:rPr>
          <w:rFonts w:cs="Calibri"/>
          <w:lang w:val="en-US"/>
        </w:rPr>
        <w:t xml:space="preserve"> </w:t>
      </w:r>
      <w:r w:rsidR="00F26F78">
        <w:rPr>
          <w:rFonts w:cs="Calibri"/>
          <w:lang w:val="en-US"/>
        </w:rPr>
        <w:t xml:space="preserve">“P. Yanbu” </w:t>
      </w:r>
      <w:r>
        <w:rPr>
          <w:rFonts w:cs="Calibri"/>
          <w:lang w:val="en-US"/>
        </w:rPr>
        <w:t>for $22.0 million in November 2020;</w:t>
      </w:r>
    </w:p>
    <w:p w14:paraId="4CF88E99" w14:textId="77777777" w:rsidR="0042119D" w:rsidRDefault="005C5928" w:rsidP="00691F00">
      <w:pPr>
        <w:widowControl w:val="0"/>
        <w:numPr>
          <w:ilvl w:val="0"/>
          <w:numId w:val="1"/>
        </w:numPr>
        <w:autoSpaceDE w:val="0"/>
        <w:autoSpaceDN w:val="0"/>
        <w:adjustRightInd w:val="0"/>
        <w:spacing w:after="0"/>
        <w:ind w:left="568" w:hanging="284"/>
        <w:jc w:val="both"/>
        <w:rPr>
          <w:rFonts w:cs="Calibri"/>
          <w:lang w:val="en-US"/>
        </w:rPr>
      </w:pPr>
      <w:r>
        <w:rPr>
          <w:rFonts w:cs="Calibri"/>
          <w:lang w:val="en-US"/>
        </w:rPr>
        <w:t>The s</w:t>
      </w:r>
      <w:r w:rsidR="00DB29B6">
        <w:rPr>
          <w:rFonts w:cs="Calibri"/>
          <w:lang w:val="en-US"/>
        </w:rPr>
        <w:t xml:space="preserve">igning of </w:t>
      </w:r>
      <w:r w:rsidR="008C0124">
        <w:rPr>
          <w:rFonts w:cs="Calibri"/>
          <w:lang w:val="en-US"/>
        </w:rPr>
        <w:t xml:space="preserve">a </w:t>
      </w:r>
      <w:r w:rsidR="00DB29B6">
        <w:rPr>
          <w:rFonts w:cs="Calibri"/>
          <w:lang w:val="en-US"/>
        </w:rPr>
        <w:t>loan agreement with Piraeus Bank S.A. for up to $31.5 million in December 2020, for the partial refinancing of the existing Nordea loan and additional financing for</w:t>
      </w:r>
      <w:r w:rsidR="00F26F78">
        <w:rPr>
          <w:rFonts w:cs="Calibri"/>
          <w:lang w:val="en-US"/>
        </w:rPr>
        <w:t xml:space="preserve"> the</w:t>
      </w:r>
      <w:r w:rsidR="00DB29B6">
        <w:rPr>
          <w:rFonts w:cs="Calibri"/>
          <w:lang w:val="en-US"/>
        </w:rPr>
        <w:t xml:space="preserve"> “P. Yanbu”; </w:t>
      </w:r>
    </w:p>
    <w:p w14:paraId="76835806" w14:textId="77777777" w:rsidR="0042119D" w:rsidRDefault="005C5928" w:rsidP="00691F00">
      <w:pPr>
        <w:widowControl w:val="0"/>
        <w:numPr>
          <w:ilvl w:val="0"/>
          <w:numId w:val="1"/>
        </w:numPr>
        <w:autoSpaceDE w:val="0"/>
        <w:autoSpaceDN w:val="0"/>
        <w:adjustRightInd w:val="0"/>
        <w:spacing w:after="0"/>
        <w:ind w:left="567" w:right="-79" w:hanging="283"/>
        <w:jc w:val="both"/>
        <w:rPr>
          <w:rFonts w:cs="Calibri"/>
          <w:lang w:val="en-US"/>
        </w:rPr>
      </w:pPr>
      <w:r>
        <w:rPr>
          <w:rFonts w:cs="Calibri"/>
          <w:lang w:val="en-US"/>
        </w:rPr>
        <w:t xml:space="preserve">Signing of </w:t>
      </w:r>
      <w:r w:rsidR="00AC1F01">
        <w:rPr>
          <w:rFonts w:cs="Calibri"/>
          <w:lang w:val="en-US"/>
        </w:rPr>
        <w:t xml:space="preserve">a </w:t>
      </w:r>
      <w:r>
        <w:rPr>
          <w:rFonts w:cs="Calibri"/>
          <w:lang w:val="en-US"/>
        </w:rPr>
        <w:t>supplemental loan agreement with Nordea for repayment schedule re-structuring in December 2020;</w:t>
      </w:r>
    </w:p>
    <w:p w14:paraId="27D4D338" w14:textId="77777777" w:rsidR="005C4F33" w:rsidRDefault="005C5928" w:rsidP="00691F00">
      <w:pPr>
        <w:widowControl w:val="0"/>
        <w:numPr>
          <w:ilvl w:val="0"/>
          <w:numId w:val="1"/>
        </w:numPr>
        <w:autoSpaceDE w:val="0"/>
        <w:autoSpaceDN w:val="0"/>
        <w:adjustRightInd w:val="0"/>
        <w:spacing w:after="0"/>
        <w:ind w:left="567" w:right="-79" w:hanging="283"/>
        <w:jc w:val="both"/>
        <w:rPr>
          <w:rFonts w:cs="Calibri"/>
          <w:lang w:val="en-US"/>
        </w:rPr>
      </w:pPr>
      <w:r>
        <w:rPr>
          <w:rFonts w:cs="Calibri"/>
          <w:lang w:val="en-US"/>
        </w:rPr>
        <w:t xml:space="preserve">Delivery of the </w:t>
      </w:r>
      <w:r w:rsidR="00E863AD">
        <w:rPr>
          <w:rFonts w:cs="Calibri"/>
          <w:lang w:val="en-US"/>
        </w:rPr>
        <w:t>Aframax t</w:t>
      </w:r>
      <w:r w:rsidR="000A7ABE">
        <w:rPr>
          <w:rFonts w:cs="Calibri"/>
          <w:lang w:val="en-US"/>
        </w:rPr>
        <w:t>anker</w:t>
      </w:r>
      <w:r w:rsidR="00E863AD">
        <w:rPr>
          <w:rFonts w:cs="Calibri"/>
          <w:lang w:val="en-US"/>
        </w:rPr>
        <w:t xml:space="preserve"> vessel</w:t>
      </w:r>
      <w:r w:rsidR="000A7ABE">
        <w:rPr>
          <w:rFonts w:cs="Calibri"/>
          <w:lang w:val="en-US"/>
        </w:rPr>
        <w:t xml:space="preserve"> </w:t>
      </w:r>
      <w:r>
        <w:rPr>
          <w:rFonts w:cs="Calibri"/>
          <w:lang w:val="en-US"/>
        </w:rPr>
        <w:t>“P. Yanbu” in December 2020;</w:t>
      </w:r>
    </w:p>
    <w:p w14:paraId="2AB7DA8B" w14:textId="183CDA85" w:rsidR="005C4F33" w:rsidRPr="005C4F33" w:rsidRDefault="005C5928" w:rsidP="00691F00">
      <w:pPr>
        <w:widowControl w:val="0"/>
        <w:numPr>
          <w:ilvl w:val="0"/>
          <w:numId w:val="1"/>
        </w:numPr>
        <w:autoSpaceDE w:val="0"/>
        <w:autoSpaceDN w:val="0"/>
        <w:adjustRightInd w:val="0"/>
        <w:spacing w:after="0"/>
        <w:ind w:left="567" w:right="-79" w:hanging="283"/>
        <w:jc w:val="both"/>
        <w:rPr>
          <w:rFonts w:cs="Calibri"/>
          <w:lang w:val="en-US"/>
        </w:rPr>
      </w:pPr>
      <w:r>
        <w:rPr>
          <w:rFonts w:cs="Calibri"/>
          <w:lang w:val="en-US"/>
        </w:rPr>
        <w:t>Entry</w:t>
      </w:r>
      <w:r w:rsidR="009D387B">
        <w:rPr>
          <w:rFonts w:cs="Calibri"/>
          <w:lang w:val="en-US"/>
        </w:rPr>
        <w:t xml:space="preserve"> into an At-The-</w:t>
      </w:r>
      <w:r w:rsidR="00DB29B6" w:rsidRPr="005C4F33">
        <w:rPr>
          <w:rFonts w:cs="Calibri"/>
          <w:lang w:val="en-US"/>
        </w:rPr>
        <w:t xml:space="preserve">Market Offering Agreement with H.C. Wainwright Co., LLC, pursuant to which </w:t>
      </w:r>
      <w:r w:rsidR="00C940EE">
        <w:rPr>
          <w:rFonts w:cs="Calibri"/>
          <w:lang w:val="en-US"/>
        </w:rPr>
        <w:t>the Company</w:t>
      </w:r>
      <w:r w:rsidR="00C940EE" w:rsidRPr="005C4F33">
        <w:rPr>
          <w:rFonts w:cs="Calibri"/>
          <w:lang w:val="en-US"/>
        </w:rPr>
        <w:t xml:space="preserve"> </w:t>
      </w:r>
      <w:r w:rsidR="00DB29B6" w:rsidRPr="005C4F33">
        <w:rPr>
          <w:rFonts w:cs="Calibri"/>
          <w:lang w:val="en-US"/>
        </w:rPr>
        <w:t xml:space="preserve">may, at </w:t>
      </w:r>
      <w:r w:rsidR="00C940EE">
        <w:rPr>
          <w:rFonts w:cs="Calibri"/>
          <w:lang w:val="en-US"/>
        </w:rPr>
        <w:t>its</w:t>
      </w:r>
      <w:r w:rsidR="00C940EE" w:rsidRPr="005C4F33">
        <w:rPr>
          <w:rFonts w:cs="Calibri"/>
          <w:lang w:val="en-US"/>
        </w:rPr>
        <w:t xml:space="preserve"> </w:t>
      </w:r>
      <w:r w:rsidR="00DB29B6" w:rsidRPr="005C4F33">
        <w:rPr>
          <w:rFonts w:cs="Calibri"/>
          <w:lang w:val="en-US"/>
        </w:rPr>
        <w:t xml:space="preserve">discretion, sell </w:t>
      </w:r>
      <w:r w:rsidR="00C940EE">
        <w:rPr>
          <w:rFonts w:cs="Calibri"/>
          <w:lang w:val="en-US"/>
        </w:rPr>
        <w:t>its</w:t>
      </w:r>
      <w:r w:rsidR="00C940EE" w:rsidRPr="005C4F33">
        <w:rPr>
          <w:rFonts w:cs="Calibri"/>
          <w:lang w:val="en-US"/>
        </w:rPr>
        <w:t xml:space="preserve"> </w:t>
      </w:r>
      <w:r w:rsidR="00DB29B6" w:rsidRPr="005C4F33">
        <w:rPr>
          <w:rFonts w:cs="Calibri"/>
          <w:lang w:val="en-US"/>
        </w:rPr>
        <w:t>common shares at market prices</w:t>
      </w:r>
      <w:r w:rsidR="00B42C96">
        <w:rPr>
          <w:rFonts w:cs="Calibri"/>
          <w:lang w:val="en-US"/>
        </w:rPr>
        <w:t>.</w:t>
      </w:r>
    </w:p>
    <w:p w14:paraId="6A47E01C" w14:textId="77777777" w:rsidR="005C4F33" w:rsidRDefault="005C4F33" w:rsidP="005C4F33">
      <w:pPr>
        <w:widowControl w:val="0"/>
        <w:autoSpaceDE w:val="0"/>
        <w:autoSpaceDN w:val="0"/>
        <w:adjustRightInd w:val="0"/>
        <w:spacing w:after="0" w:line="240" w:lineRule="auto"/>
        <w:ind w:left="567" w:right="-79"/>
        <w:jc w:val="both"/>
        <w:rPr>
          <w:rFonts w:cs="Calibri"/>
          <w:lang w:val="en-US"/>
        </w:rPr>
      </w:pPr>
    </w:p>
    <w:p w14:paraId="626D754D" w14:textId="77777777" w:rsidR="00025225" w:rsidRPr="00025225" w:rsidRDefault="005C5928" w:rsidP="00025225">
      <w:pPr>
        <w:pStyle w:val="Normal0"/>
        <w:ind w:right="-82"/>
        <w:jc w:val="both"/>
        <w:rPr>
          <w:rFonts w:ascii="Calibri" w:eastAsia="Calibri" w:hAnsi="Calibri" w:cs="Calibri"/>
        </w:rPr>
      </w:pPr>
      <w:r w:rsidRPr="00025225">
        <w:rPr>
          <w:rFonts w:ascii="Calibri" w:eastAsia="Calibri" w:hAnsi="Calibri" w:cs="Calibri"/>
        </w:rPr>
        <w:t xml:space="preserve">Commenting on the results of the </w:t>
      </w:r>
      <w:r w:rsidR="005B61B6">
        <w:rPr>
          <w:rFonts w:ascii="Calibri" w:eastAsia="Calibri" w:hAnsi="Calibri" w:cs="Calibri"/>
        </w:rPr>
        <w:t>fourth</w:t>
      </w:r>
      <w:r>
        <w:rPr>
          <w:rFonts w:ascii="Calibri" w:eastAsia="Calibri" w:hAnsi="Calibri" w:cs="Calibri"/>
        </w:rPr>
        <w:t xml:space="preserve"> </w:t>
      </w:r>
      <w:r w:rsidRPr="00025225">
        <w:rPr>
          <w:rFonts w:ascii="Calibri" w:eastAsia="Calibri" w:hAnsi="Calibri" w:cs="Calibri"/>
        </w:rPr>
        <w:t xml:space="preserve">quarter of 2020, Mr. Andreas Michalopoulos, the Company’s </w:t>
      </w:r>
      <w:r w:rsidR="00056535">
        <w:rPr>
          <w:rFonts w:ascii="Calibri" w:eastAsia="Calibri" w:hAnsi="Calibri" w:cs="Calibri"/>
        </w:rPr>
        <w:t>Chief Executive Officer</w:t>
      </w:r>
      <w:r w:rsidR="00E03FFF">
        <w:rPr>
          <w:rFonts w:ascii="Calibri" w:eastAsia="Calibri" w:hAnsi="Calibri" w:cs="Calibri"/>
        </w:rPr>
        <w:t>,</w:t>
      </w:r>
      <w:r w:rsidR="00056535">
        <w:rPr>
          <w:rFonts w:ascii="Calibri" w:eastAsia="Calibri" w:hAnsi="Calibri" w:cs="Calibri"/>
        </w:rPr>
        <w:t xml:space="preserve"> </w:t>
      </w:r>
      <w:r w:rsidRPr="00025225">
        <w:rPr>
          <w:rFonts w:ascii="Calibri" w:eastAsia="Calibri" w:hAnsi="Calibri" w:cs="Calibri"/>
        </w:rPr>
        <w:t>stated:</w:t>
      </w:r>
    </w:p>
    <w:p w14:paraId="1C39F0BA" w14:textId="29DA9DCE" w:rsidR="00D005AA" w:rsidRDefault="005C5928" w:rsidP="00D005AA">
      <w:pPr>
        <w:jc w:val="both"/>
        <w:rPr>
          <w:rFonts w:cs="Calibri"/>
          <w:lang w:val="en-US"/>
        </w:rPr>
      </w:pPr>
      <w:r>
        <w:rPr>
          <w:rFonts w:cs="Calibri"/>
          <w:lang w:val="en-US"/>
        </w:rPr>
        <w:t xml:space="preserve">“Spot charter rates during the fourth quarter of 2020 were the lowest in more than 30 years as a </w:t>
      </w:r>
      <w:r w:rsidR="002E66CA">
        <w:rPr>
          <w:rFonts w:cs="Calibri"/>
          <w:lang w:val="en-US"/>
        </w:rPr>
        <w:t xml:space="preserve">result of a </w:t>
      </w:r>
      <w:r>
        <w:rPr>
          <w:rFonts w:cs="Calibri"/>
          <w:lang w:val="en-US"/>
        </w:rPr>
        <w:t>combination of weak consumer and industrial demand</w:t>
      </w:r>
      <w:r w:rsidR="00E863AD">
        <w:rPr>
          <w:rFonts w:cs="Calibri"/>
          <w:lang w:val="en-US"/>
        </w:rPr>
        <w:t>,</w:t>
      </w:r>
      <w:r>
        <w:rPr>
          <w:rFonts w:cs="Calibri"/>
          <w:lang w:val="en-US"/>
        </w:rPr>
        <w:t xml:space="preserve"> and low crude oil and refined petroleum products production. We, at Performance Shipping Inc., nevertheless managed to earn a time charter equivalent rate of </w:t>
      </w:r>
      <w:r w:rsidRPr="005E0C9C">
        <w:rPr>
          <w:rFonts w:cs="Calibri"/>
          <w:lang w:val="en-US"/>
        </w:rPr>
        <w:t>$10,114</w:t>
      </w:r>
      <w:r>
        <w:rPr>
          <w:rFonts w:cs="Calibri"/>
          <w:lang w:val="en-US"/>
        </w:rPr>
        <w:t xml:space="preserve"> over our available days compared to the average daily spot Aframax tanker rate of $</w:t>
      </w:r>
      <w:r>
        <w:rPr>
          <w:rFonts w:cs="Calibri"/>
          <w:lang w:val="en-GB"/>
        </w:rPr>
        <w:t>5,713</w:t>
      </w:r>
      <w:r>
        <w:rPr>
          <w:rFonts w:cs="Calibri"/>
          <w:lang w:val="en-US"/>
        </w:rPr>
        <w:t xml:space="preserve"> during the quarter. </w:t>
      </w:r>
      <w:r>
        <w:rPr>
          <w:rFonts w:cs="Calibri"/>
          <w:lang w:val="en-GB"/>
        </w:rPr>
        <w:t xml:space="preserve">We expect the spot charter market to gradually recover through 2021 as the COVID-19 pandemic recedes and demand for crude oil and refined petroleum products recovers. </w:t>
      </w:r>
      <w:r>
        <w:rPr>
          <w:rFonts w:cs="Calibri"/>
          <w:lang w:val="en-US"/>
        </w:rPr>
        <w:t>Unfortunately, due to unprecedented low market conditions, we cannot declare and pay a dividend</w:t>
      </w:r>
      <w:r w:rsidR="00C940EE">
        <w:rPr>
          <w:rFonts w:cs="Calibri"/>
          <w:lang w:val="en-US"/>
        </w:rPr>
        <w:t xml:space="preserve"> at the present time</w:t>
      </w:r>
      <w:r w:rsidR="00F8098D">
        <w:rPr>
          <w:rFonts w:cs="Calibri"/>
          <w:lang w:val="en-US"/>
        </w:rPr>
        <w:t>,</w:t>
      </w:r>
      <w:r>
        <w:rPr>
          <w:rFonts w:cs="Calibri"/>
          <w:lang w:val="en-US"/>
        </w:rPr>
        <w:t xml:space="preserve"> but we are pleased to include for the first time in our earnings release our fourth quarter dividend calculation</w:t>
      </w:r>
      <w:r w:rsidRPr="00FE3B29">
        <w:rPr>
          <w:rFonts w:cs="Calibri"/>
          <w:lang w:val="en-US"/>
        </w:rPr>
        <w:t>,</w:t>
      </w:r>
      <w:r>
        <w:rPr>
          <w:rFonts w:cs="Calibri"/>
          <w:lang w:val="en-US"/>
        </w:rPr>
        <w:t xml:space="preserve"> a specific and transparent ta</w:t>
      </w:r>
      <w:r w:rsidR="00A5469F">
        <w:rPr>
          <w:rFonts w:cs="Calibri"/>
          <w:lang w:val="en-US"/>
        </w:rPr>
        <w:t>ble based on which we determine</w:t>
      </w:r>
      <w:r>
        <w:rPr>
          <w:rFonts w:cs="Calibri"/>
          <w:lang w:val="en-US"/>
        </w:rPr>
        <w:t xml:space="preserve"> whether we shall pay a dividend. </w:t>
      </w:r>
      <w:r w:rsidR="00FF12A2">
        <w:rPr>
          <w:rFonts w:cs="Calibri"/>
          <w:lang w:val="en-US"/>
        </w:rPr>
        <w:t xml:space="preserve">The </w:t>
      </w:r>
      <w:r w:rsidR="00A65BBA">
        <w:rPr>
          <w:rFonts w:cs="Calibri"/>
          <w:lang w:val="en-US"/>
        </w:rPr>
        <w:t>ATM</w:t>
      </w:r>
      <w:r w:rsidR="00FF12A2">
        <w:rPr>
          <w:rFonts w:cs="Calibri"/>
          <w:lang w:val="en-US"/>
        </w:rPr>
        <w:t xml:space="preserve"> agreement we </w:t>
      </w:r>
      <w:r w:rsidR="00491B41">
        <w:rPr>
          <w:rFonts w:cs="Calibri"/>
          <w:lang w:val="en-US"/>
        </w:rPr>
        <w:t>will</w:t>
      </w:r>
      <w:r w:rsidR="00B42C96">
        <w:rPr>
          <w:rFonts w:cs="Calibri"/>
          <w:lang w:val="en-US"/>
        </w:rPr>
        <w:t xml:space="preserve"> enter into today </w:t>
      </w:r>
      <w:r>
        <w:rPr>
          <w:rFonts w:cs="Calibri"/>
          <w:lang w:val="en-US"/>
        </w:rPr>
        <w:t>will position us to fund our stated growth strategy of gradually doubling the size of our fleet over the next twelve to twenty-four months through access to the public equity capital markets when our industry and share price recover in the future.”</w:t>
      </w:r>
    </w:p>
    <w:p w14:paraId="75D4DCAB" w14:textId="77777777" w:rsidR="007862BC" w:rsidRDefault="005C5928" w:rsidP="00E56A6E">
      <w:pPr>
        <w:pStyle w:val="Normal0"/>
        <w:ind w:right="-82"/>
        <w:jc w:val="both"/>
        <w:rPr>
          <w:rFonts w:ascii="Calibri" w:eastAsia="Calibri" w:hAnsi="Calibri" w:cs="Calibri"/>
        </w:rPr>
      </w:pPr>
      <w:r>
        <w:rPr>
          <w:rFonts w:ascii="Calibri" w:eastAsia="Calibri" w:hAnsi="Calibri" w:cs="Calibri"/>
          <w:b/>
          <w:u w:val="single"/>
        </w:rPr>
        <w:t xml:space="preserve"> </w:t>
      </w:r>
      <w:r w:rsidR="005C3EF0" w:rsidRPr="007862BC">
        <w:rPr>
          <w:rFonts w:ascii="Calibri" w:eastAsia="Calibri" w:hAnsi="Calibri" w:cs="Calibri"/>
          <w:b/>
          <w:u w:val="single"/>
        </w:rPr>
        <w:t>Tanker Market Update</w:t>
      </w:r>
      <w:r w:rsidR="005C3EF0">
        <w:rPr>
          <w:rFonts w:ascii="Calibri" w:eastAsia="Calibri" w:hAnsi="Calibri" w:cs="Calibri"/>
          <w:b/>
          <w:u w:val="single"/>
        </w:rPr>
        <w:t>:</w:t>
      </w:r>
    </w:p>
    <w:p w14:paraId="022288CE"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Fleet supply was 641.0 million dwt, up 0.3% from 638.9 million dwt from the previous quarter, and up 3.0% from Q4 2019 levels of 622.3 million dwt. </w:t>
      </w:r>
    </w:p>
    <w:p w14:paraId="01E703E8"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Demand is estimated to have increased by 2.0% from the previous quarter and 12.5% from Q4 2019 levels.</w:t>
      </w:r>
    </w:p>
    <w:p w14:paraId="168D9030" w14:textId="77777777" w:rsidR="007B6494" w:rsidRPr="007B6494" w:rsidRDefault="005C5928" w:rsidP="007B6494">
      <w:pPr>
        <w:widowControl w:val="0"/>
        <w:numPr>
          <w:ilvl w:val="0"/>
          <w:numId w:val="1"/>
        </w:numPr>
        <w:autoSpaceDE w:val="0"/>
        <w:autoSpaceDN w:val="0"/>
        <w:adjustRightInd w:val="0"/>
        <w:spacing w:after="0" w:line="240" w:lineRule="auto"/>
        <w:ind w:left="567" w:hanging="283"/>
        <w:jc w:val="both"/>
        <w:rPr>
          <w:rFonts w:cs="Calibri"/>
          <w:lang w:val="en-US"/>
        </w:rPr>
      </w:pPr>
      <w:r w:rsidRPr="007B6494">
        <w:rPr>
          <w:rFonts w:cs="Calibri"/>
          <w:lang w:val="en-US"/>
        </w:rPr>
        <w:t xml:space="preserve">Crude tanker fleet utilization was estimated at 79.6%, down from 84.5% from the previous quarter and down from Q4 2019 levels of 89.3%. </w:t>
      </w:r>
    </w:p>
    <w:p w14:paraId="4FE12EB0"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Newbuilding contracting at 9.3 million dwt resulted in a further reduction of the orderbook to 7.7% of the fleet, the lowest level since 1996.</w:t>
      </w:r>
    </w:p>
    <w:p w14:paraId="0CC9036E"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Daily </w:t>
      </w:r>
      <w:r>
        <w:rPr>
          <w:rFonts w:cs="Calibri"/>
          <w:lang w:val="en-US"/>
        </w:rPr>
        <w:t>spot charter rates for Aframax t</w:t>
      </w:r>
      <w:r w:rsidRPr="00D62635">
        <w:rPr>
          <w:rFonts w:cs="Calibri"/>
          <w:lang w:val="en-US"/>
        </w:rPr>
        <w:t>ankers averaged $5,713, down 34.3% from the previous quarter average of $8,698 and down 89.0% from Q4 2019 average of $52,853.     </w:t>
      </w:r>
    </w:p>
    <w:p w14:paraId="16954D09"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The value of a 10-year-old Aframax tanker ended the quarter at $20.5 million, down 10.9% from the previous quarter assessed value of $23 million, and down 31.7% from Q4 2019 assessed value of $30 million.</w:t>
      </w:r>
      <w:r w:rsidRPr="00D62635">
        <w:rPr>
          <w:rFonts w:cs="Calibri"/>
          <w:lang w:val="en-US"/>
        </w:rPr>
        <w:tab/>
      </w:r>
    </w:p>
    <w:p w14:paraId="78B8FCFA"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Tankers used for floating storage (excluding dedicated storage) was 232 (38.3 million dwt), down 29.9% from 331 (47.6 million dwt) from the previous quarter and up 231.4% from Q4 2019 levels of 70 (16.5 million dwt). </w:t>
      </w:r>
    </w:p>
    <w:p w14:paraId="6BCDF130"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Global oil consumption was 95.5 million bpd, up 2.3% from the previous quarter level of 93.4 million bpd, and down 6.1% from Q4 2019 levels of 101.7 million bpd. </w:t>
      </w:r>
    </w:p>
    <w:p w14:paraId="56AAADB4" w14:textId="77777777" w:rsidR="00D62635" w:rsidRP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Global oil production was 92.3 million bpd, up 1.2% from the previous quarter level of 91.2 million bpd and down 9.1% from Q4 2019 levels of 101.6 million bpd. </w:t>
      </w:r>
    </w:p>
    <w:p w14:paraId="6CD6C88D" w14:textId="77777777" w:rsidR="00D62635" w:rsidRDefault="005C5928" w:rsidP="00D62635">
      <w:pPr>
        <w:widowControl w:val="0"/>
        <w:numPr>
          <w:ilvl w:val="0"/>
          <w:numId w:val="1"/>
        </w:numPr>
        <w:autoSpaceDE w:val="0"/>
        <w:autoSpaceDN w:val="0"/>
        <w:adjustRightInd w:val="0"/>
        <w:spacing w:after="0" w:line="240" w:lineRule="auto"/>
        <w:ind w:left="567" w:hanging="283"/>
        <w:jc w:val="both"/>
        <w:rPr>
          <w:rFonts w:cs="Calibri"/>
          <w:lang w:val="en-US"/>
        </w:rPr>
      </w:pPr>
      <w:r w:rsidRPr="00D62635">
        <w:rPr>
          <w:rFonts w:cs="Calibri"/>
          <w:lang w:val="en-US"/>
        </w:rPr>
        <w:t xml:space="preserve">OECD commercial inventories were 3,045.2 million barrels, down 3.9% from the previous quarter level of 3,168.9 </w:t>
      </w:r>
      <w:r w:rsidRPr="00D62635">
        <w:rPr>
          <w:rFonts w:cs="Calibri"/>
          <w:lang w:val="en-US"/>
        </w:rPr>
        <w:lastRenderedPageBreak/>
        <w:t xml:space="preserve">million barrels, and up 5.8% from Q4 2019 levels of 2,878.8 million barrels. </w:t>
      </w:r>
    </w:p>
    <w:p w14:paraId="06D8B439" w14:textId="77777777" w:rsidR="00EA0CF6" w:rsidRPr="00D62635" w:rsidRDefault="00EA0CF6" w:rsidP="00EA0CF6">
      <w:pPr>
        <w:widowControl w:val="0"/>
        <w:autoSpaceDE w:val="0"/>
        <w:autoSpaceDN w:val="0"/>
        <w:adjustRightInd w:val="0"/>
        <w:spacing w:after="0" w:line="240" w:lineRule="auto"/>
        <w:ind w:left="567"/>
        <w:jc w:val="both"/>
        <w:rPr>
          <w:rFonts w:cs="Calibri"/>
          <w:lang w:val="en-US"/>
        </w:rPr>
      </w:pPr>
    </w:p>
    <w:p w14:paraId="4286B0DE" w14:textId="77777777" w:rsidR="007862BC" w:rsidRPr="007862BC" w:rsidRDefault="005C5928" w:rsidP="00025225">
      <w:pPr>
        <w:pStyle w:val="Normal0"/>
        <w:ind w:right="-82"/>
        <w:jc w:val="both"/>
        <w:rPr>
          <w:rFonts w:ascii="Calibri" w:eastAsia="Calibri" w:hAnsi="Calibri" w:cs="Calibri"/>
          <w:b/>
          <w:u w:val="single"/>
        </w:rPr>
      </w:pPr>
      <w:r>
        <w:rPr>
          <w:rFonts w:ascii="Calibri" w:eastAsia="Calibri" w:hAnsi="Calibri" w:cs="Calibri"/>
          <w:b/>
          <w:u w:val="single"/>
        </w:rPr>
        <w:t xml:space="preserve">Novel </w:t>
      </w:r>
      <w:r w:rsidR="00DE4CD2">
        <w:rPr>
          <w:rFonts w:ascii="Calibri" w:eastAsia="Calibri" w:hAnsi="Calibri" w:cs="Calibri"/>
          <w:b/>
          <w:u w:val="single"/>
        </w:rPr>
        <w:t>Coronavirus R</w:t>
      </w:r>
      <w:r w:rsidR="00DE4CD2" w:rsidRPr="007862BC">
        <w:rPr>
          <w:rFonts w:ascii="Calibri" w:eastAsia="Calibri" w:hAnsi="Calibri" w:cs="Calibri"/>
          <w:b/>
          <w:u w:val="single"/>
        </w:rPr>
        <w:t>isks:</w:t>
      </w:r>
    </w:p>
    <w:p w14:paraId="443C1D66" w14:textId="77777777" w:rsidR="00A56BC5" w:rsidRDefault="005C5928" w:rsidP="00A56BC5">
      <w:pPr>
        <w:pStyle w:val="Normal00"/>
        <w:jc w:val="both"/>
        <w:rPr>
          <w:rFonts w:eastAsia="Calibri"/>
        </w:rPr>
      </w:pPr>
      <w:r>
        <w:rPr>
          <w:rFonts w:eastAsia="Calibri"/>
        </w:rPr>
        <w:t>On March 11, 2020, the World Health Organization declared the novel coronavirus (“COVID-19”) outbreak a pandemic. In response to the outbreak, many countries, ports and organizations, including those where the Company conducts a large part of its operations, have implemented measures to combat the outbreak, such as quarantines, travel restrictions, and other emergency public health measures in an effort to contain the outbreak. Such measures have resulted in a significant reduction in global economic activity and extreme volatility in the global financial markets, which has reduced the global demand for oil and oil products, which the Company’s vessels transport. The extent to which COVID-19 will impact the Company’s results of operations and financial condition will depend on future developments, which are highly uncertain and cannot be predicted, including new information which may emerge concerning the severity of the virus and the actions to contain or treat its impact, among others. Accordingly, an estimate of the impact cannot be made at this time. However, if the COVID-19 pandemic worsens, additional restrictions are imposed, or current restrictions are imposed for a longer period of time in response to the outbreak, the adverse impact on the global economy and the rate environment for tankers may deteriorate further, which may result in a material adverse effect on the Company’s business, results of operations, cash flows, financial condition, vessel values, and ability to pay dividends.</w:t>
      </w:r>
    </w:p>
    <w:tbl>
      <w:tblPr>
        <w:tblStyle w:val="CDMRange1"/>
        <w:tblW w:w="10665" w:type="dxa"/>
        <w:tblLayout w:type="fixed"/>
        <w:tblLook w:val="0600" w:firstRow="0" w:lastRow="0" w:firstColumn="0" w:lastColumn="0" w:noHBand="1" w:noVBand="1"/>
      </w:tblPr>
      <w:tblGrid>
        <w:gridCol w:w="195"/>
        <w:gridCol w:w="3885"/>
        <w:gridCol w:w="180"/>
        <w:gridCol w:w="1470"/>
        <w:gridCol w:w="180"/>
        <w:gridCol w:w="1470"/>
        <w:gridCol w:w="180"/>
        <w:gridCol w:w="1470"/>
        <w:gridCol w:w="180"/>
        <w:gridCol w:w="1455"/>
      </w:tblGrid>
      <w:tr w:rsidR="00DE5637" w:rsidRPr="00B762BD" w14:paraId="38AD8643" w14:textId="77777777">
        <w:trPr>
          <w:trHeight w:hRule="exact" w:val="300"/>
        </w:trPr>
        <w:tc>
          <w:tcPr>
            <w:tcW w:w="10665" w:type="dxa"/>
            <w:gridSpan w:val="10"/>
            <w:tcBorders>
              <w:top w:val="nil"/>
              <w:left w:val="nil"/>
              <w:bottom w:val="nil"/>
              <w:right w:val="nil"/>
              <w:tl2br w:val="nil"/>
              <w:tr2bl w:val="nil"/>
            </w:tcBorders>
            <w:shd w:val="clear" w:color="auto" w:fill="auto"/>
            <w:noWrap/>
            <w:tcMar>
              <w:left w:w="40" w:type="dxa"/>
              <w:right w:w="40" w:type="dxa"/>
            </w:tcMar>
            <w:vAlign w:val="bottom"/>
          </w:tcPr>
          <w:p w14:paraId="5140A958" w14:textId="77777777" w:rsidR="00DE5637" w:rsidRPr="00E863AD" w:rsidRDefault="005C5928">
            <w:pPr>
              <w:pageBreakBefore/>
              <w:spacing w:after="0" w:line="240" w:lineRule="auto"/>
              <w:rPr>
                <w:rFonts w:ascii="Calibri" w:eastAsia="Calibri" w:hAnsi="Calibri" w:cs="Calibri"/>
                <w:b/>
                <w:color w:val="000000"/>
                <w:lang w:val="en-US"/>
              </w:rPr>
            </w:pPr>
            <w:r w:rsidRPr="00E863AD">
              <w:rPr>
                <w:rFonts w:ascii="Calibri" w:eastAsia="Calibri" w:hAnsi="Calibri" w:cs="Calibri"/>
                <w:b/>
                <w:color w:val="000000"/>
                <w:lang w:val="en-US"/>
              </w:rPr>
              <w:t>Summary of Selected Financial &amp; Other Data</w:t>
            </w:r>
          </w:p>
        </w:tc>
      </w:tr>
      <w:tr w:rsidR="00DE5637" w:rsidRPr="00B762BD" w14:paraId="5F0D8E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95" w:type="dxa"/>
            <w:tcBorders>
              <w:top w:val="nil"/>
              <w:left w:val="nil"/>
              <w:bottom w:val="nil"/>
              <w:right w:val="nil"/>
              <w:tl2br w:val="nil"/>
              <w:tr2bl w:val="nil"/>
            </w:tcBorders>
            <w:shd w:val="clear" w:color="auto" w:fill="auto"/>
            <w:tcMar>
              <w:left w:w="0" w:type="dxa"/>
              <w:right w:w="0" w:type="dxa"/>
            </w:tcMar>
            <w:vAlign w:val="bottom"/>
          </w:tcPr>
          <w:p w14:paraId="74048464"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6C57D82D"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10D2D1D"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3120" w:type="dxa"/>
            <w:gridSpan w:val="3"/>
            <w:tcBorders>
              <w:top w:val="nil"/>
              <w:left w:val="nil"/>
              <w:bottom w:val="nil"/>
              <w:right w:val="nil"/>
              <w:tl2br w:val="nil"/>
              <w:tr2bl w:val="nil"/>
            </w:tcBorders>
            <w:shd w:val="clear" w:color="auto" w:fill="auto"/>
            <w:tcMar>
              <w:left w:w="40" w:type="dxa"/>
              <w:right w:w="40" w:type="dxa"/>
            </w:tcMar>
            <w:vAlign w:val="bottom"/>
          </w:tcPr>
          <w:p w14:paraId="71886143"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8083C3B" w14:textId="77777777" w:rsidR="00DE5637" w:rsidRPr="00E863AD" w:rsidRDefault="00DE5637">
            <w:pPr>
              <w:spacing w:after="0" w:line="240" w:lineRule="auto"/>
              <w:jc w:val="center"/>
              <w:rPr>
                <w:rFonts w:ascii="Calibri" w:eastAsia="Calibri" w:hAnsi="Calibri" w:cs="Calibri"/>
                <w:b/>
                <w:color w:val="000000"/>
                <w:sz w:val="18"/>
                <w:lang w:val="en-US"/>
              </w:rPr>
            </w:pPr>
          </w:p>
        </w:tc>
        <w:tc>
          <w:tcPr>
            <w:tcW w:w="3105" w:type="dxa"/>
            <w:gridSpan w:val="3"/>
            <w:tcBorders>
              <w:top w:val="nil"/>
              <w:left w:val="nil"/>
              <w:bottom w:val="nil"/>
              <w:right w:val="nil"/>
              <w:tl2br w:val="nil"/>
              <w:tr2bl w:val="nil"/>
            </w:tcBorders>
            <w:shd w:val="clear" w:color="auto" w:fill="auto"/>
            <w:tcMar>
              <w:left w:w="40" w:type="dxa"/>
              <w:right w:w="40" w:type="dxa"/>
            </w:tcMar>
            <w:vAlign w:val="bottom"/>
          </w:tcPr>
          <w:p w14:paraId="0EFB703D"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years ended December 31,</w:t>
            </w:r>
          </w:p>
        </w:tc>
      </w:tr>
      <w:tr w:rsidR="00DE5637" w14:paraId="62DA2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6249DDC"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65C8DAAF"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57A5CA4"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2240DD17"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D6E8935" w14:textId="77777777" w:rsidR="00DE5637" w:rsidRDefault="00DE5637">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04928588"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4196CA1" w14:textId="77777777" w:rsidR="00DE5637" w:rsidRDefault="00DE5637">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5E691522"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05C9F7C" w14:textId="77777777" w:rsidR="00DE5637" w:rsidRDefault="00DE5637">
            <w:pPr>
              <w:spacing w:after="0" w:line="240" w:lineRule="auto"/>
              <w:jc w:val="center"/>
              <w:rPr>
                <w:rFonts w:ascii="Calibri" w:eastAsia="Calibri" w:hAnsi="Calibri" w:cs="Calibri"/>
                <w:b/>
                <w:color w:val="000000"/>
                <w:sz w:val="20"/>
              </w:rPr>
            </w:pPr>
          </w:p>
        </w:tc>
        <w:tc>
          <w:tcPr>
            <w:tcW w:w="1455" w:type="dxa"/>
            <w:tcBorders>
              <w:top w:val="nil"/>
              <w:left w:val="nil"/>
              <w:bottom w:val="single" w:sz="4" w:space="0" w:color="000000"/>
              <w:right w:val="nil"/>
              <w:tl2br w:val="nil"/>
              <w:tr2bl w:val="nil"/>
            </w:tcBorders>
            <w:shd w:val="clear" w:color="auto" w:fill="auto"/>
            <w:tcMar>
              <w:left w:w="40" w:type="dxa"/>
              <w:right w:w="40" w:type="dxa"/>
            </w:tcMar>
            <w:vAlign w:val="bottom"/>
          </w:tcPr>
          <w:p w14:paraId="7C5EFB43"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r>
      <w:tr w:rsidR="00DE5637" w14:paraId="1DA43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540D31F"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02F03085"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3821324"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0252818"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7FED4B"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2BF4884"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4DA393" w14:textId="77777777" w:rsidR="00DE5637" w:rsidRDefault="00DE5637">
            <w:pPr>
              <w:spacing w:after="0" w:line="240" w:lineRule="auto"/>
              <w:jc w:val="center"/>
              <w:rPr>
                <w:rFonts w:ascii="Calibri" w:eastAsia="Calibri" w:hAnsi="Calibri" w:cs="Calibri"/>
                <w:color w:val="000000"/>
                <w:sz w:val="18"/>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0894460"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10FEF4" w14:textId="77777777" w:rsidR="00DE5637" w:rsidRDefault="00DE5637">
            <w:pPr>
              <w:spacing w:after="0" w:line="240" w:lineRule="auto"/>
              <w:jc w:val="center"/>
              <w:rPr>
                <w:rFonts w:ascii="Calibri" w:eastAsia="Calibri" w:hAnsi="Calibri" w:cs="Calibri"/>
                <w:color w:val="000000"/>
                <w:sz w:val="20"/>
              </w:rPr>
            </w:pPr>
          </w:p>
        </w:tc>
        <w:tc>
          <w:tcPr>
            <w:tcW w:w="145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0119594"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DE5637" w:rsidRPr="00B762BD" w14:paraId="21C24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41096DB3"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STATEMENT OF OPERATIONS DATA (in thousands of US Dollars):</w:t>
            </w:r>
          </w:p>
        </w:tc>
      </w:tr>
      <w:tr w:rsidR="00DE5637" w14:paraId="13E9F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730" w:type="dxa"/>
            <w:gridSpan w:val="4"/>
            <w:tcBorders>
              <w:top w:val="nil"/>
              <w:left w:val="nil"/>
              <w:bottom w:val="nil"/>
              <w:right w:val="nil"/>
              <w:tl2br w:val="nil"/>
              <w:tr2bl w:val="nil"/>
            </w:tcBorders>
            <w:shd w:val="clear" w:color="auto" w:fill="auto"/>
            <w:tcMar>
              <w:left w:w="40" w:type="dxa"/>
              <w:right w:w="40" w:type="dxa"/>
            </w:tcMar>
            <w:vAlign w:val="bottom"/>
          </w:tcPr>
          <w:p w14:paraId="3618DAA6" w14:textId="77777777" w:rsidR="00DE5637" w:rsidRDefault="005C5928">
            <w:pPr>
              <w:spacing w:after="0" w:line="240" w:lineRule="auto"/>
              <w:rPr>
                <w:rFonts w:ascii="Calibri" w:eastAsia="Calibri" w:hAnsi="Calibri" w:cs="Calibri"/>
                <w:b/>
                <w:color w:val="000000"/>
                <w:sz w:val="20"/>
                <w:u w:val="single"/>
              </w:rPr>
            </w:pPr>
            <w:r>
              <w:rPr>
                <w:rFonts w:ascii="Calibri" w:eastAsia="Calibri" w:hAnsi="Calibri" w:cs="Calibri"/>
                <w:b/>
                <w:color w:val="000000"/>
                <w:sz w:val="20"/>
                <w:u w:val="single"/>
              </w:rPr>
              <w:t>CONTINUING AND DISCONTINUED OPERATIONS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288D776"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06BEBCD0"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E5E1D1A"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5B8F485C"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2D7CA10" w14:textId="77777777" w:rsidR="00DE5637" w:rsidRDefault="00DE5637">
            <w:pPr>
              <w:spacing w:after="0" w:line="240" w:lineRule="auto"/>
              <w:rPr>
                <w:rFonts w:ascii="Calibri" w:eastAsia="Calibri" w:hAnsi="Calibri" w:cs="Calibri"/>
                <w:b/>
                <w:color w:val="000000"/>
                <w:sz w:val="20"/>
              </w:rPr>
            </w:pPr>
          </w:p>
        </w:tc>
        <w:tc>
          <w:tcPr>
            <w:tcW w:w="1455" w:type="dxa"/>
            <w:tcBorders>
              <w:top w:val="nil"/>
              <w:left w:val="nil"/>
              <w:bottom w:val="nil"/>
              <w:right w:val="nil"/>
              <w:tl2br w:val="nil"/>
              <w:tr2bl w:val="nil"/>
            </w:tcBorders>
            <w:shd w:val="clear" w:color="auto" w:fill="auto"/>
            <w:tcMar>
              <w:left w:w="0" w:type="dxa"/>
              <w:right w:w="0" w:type="dxa"/>
            </w:tcMar>
            <w:vAlign w:val="bottom"/>
          </w:tcPr>
          <w:p w14:paraId="4B6F9D15" w14:textId="77777777" w:rsidR="00DE5637" w:rsidRDefault="00DE5637">
            <w:pPr>
              <w:spacing w:after="0" w:line="240" w:lineRule="auto"/>
              <w:rPr>
                <w:rFonts w:ascii="Calibri" w:eastAsia="Calibri" w:hAnsi="Calibri" w:cs="Calibri"/>
                <w:b/>
                <w:color w:val="000000"/>
                <w:sz w:val="20"/>
              </w:rPr>
            </w:pPr>
          </w:p>
        </w:tc>
      </w:tr>
      <w:tr w:rsidR="00DE5637" w14:paraId="6EA52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2A488AB"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D1BBF7E"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C8E278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48F4F5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7,205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8E2B82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CBEC4C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10,580</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D9094D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EAB921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46,283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71051D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14:paraId="0820D55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26,846</w:t>
            </w:r>
          </w:p>
        </w:tc>
      </w:tr>
      <w:tr w:rsidR="00DE5637" w14:paraId="4AC30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0C1CED1"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628001E"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79950B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0FBA8A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3,311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2537FF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861199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2,083</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01FC785"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E3607F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14,622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9DD6A78"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3E4A7DA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3,447</w:t>
            </w:r>
          </w:p>
        </w:tc>
      </w:tr>
      <w:tr w:rsidR="00DE5637" w14:paraId="0CA3D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7DAFA23"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6BADA1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94CB7B6"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F308C6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2,412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487D3C5"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9D3D97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2,605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F49E30C"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0982E2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11,544</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92EA20B"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0D0B7C1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11,321</w:t>
            </w:r>
          </w:p>
        </w:tc>
      </w:tr>
      <w:tr w:rsidR="00DE5637" w14:paraId="139D3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56E1BEF"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C32597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29E380A"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6AD8B85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725B4BC"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1C9347D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(12,228)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9370D9E"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012476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3,777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84B296B"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0680BB4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(32,057)</w:t>
            </w:r>
          </w:p>
        </w:tc>
      </w:tr>
      <w:tr w:rsidR="00DE5637" w14:paraId="798FE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1840EED"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123D5080"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545ED08"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76A31E0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AC3CF60"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74F798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(12,228)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995CB51"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2A5BB8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5,190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B178FAC"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21EF6F5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(32,057)</w:t>
            </w:r>
          </w:p>
        </w:tc>
      </w:tr>
      <w:tr w:rsidR="00DE5637" w14:paraId="7430A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099F487"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D4692F8"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7810937"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1C4B43A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E6EE16B"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4ECA7C7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916D792"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0C58E82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9CF4ADB"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307784D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(11.19)</w:t>
            </w:r>
          </w:p>
        </w:tc>
      </w:tr>
      <w:tr w:rsidR="00DE5637" w14:paraId="5F44F8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8D5B86E"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0A10F78E"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7F5C0C7"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39F162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C6F75CC"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5B0716E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A06AF9A"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D8B814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BEC8FC9"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1D54F4E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(11.19)</w:t>
            </w:r>
          </w:p>
        </w:tc>
      </w:tr>
      <w:tr w:rsidR="00DE5637" w14:paraId="067F9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740F3560"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DE5637" w14:paraId="264BE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9142D07"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46105F3A"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D220D4E"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E65765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57A2EB1"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B5E078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153ADF8"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245DA7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CDAB2C4"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0D08D12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4.2</w:t>
            </w:r>
          </w:p>
        </w:tc>
      </w:tr>
      <w:tr w:rsidR="00DE5637" w14:paraId="4EEF7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9E613A4"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1A8C625B"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6A6067E"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A53C38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A81BF67"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E98C1A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54B4CBD"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4CBB34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5AA2CC6" w14:textId="77777777" w:rsidR="00DE5637" w:rsidRDefault="00DE5637">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0C846A5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r>
      <w:tr w:rsidR="00DE5637" w14:paraId="005DD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49069C5"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43369CFB"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313109"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732F6A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92DD423"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E3030A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367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C6A2AC"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45B890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1,689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6A3FA7A"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BCCF19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1,516</w:t>
            </w:r>
          </w:p>
        </w:tc>
      </w:tr>
      <w:tr w:rsidR="00DE5637" w14:paraId="620837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C3F75C9"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19966183"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279703"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ED91F5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A931602"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7C00B5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367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7EEBEE"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92DEA9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1,689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8CA61A"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5BCCFCB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1,516</w:t>
            </w:r>
          </w:p>
        </w:tc>
      </w:tr>
      <w:tr w:rsidR="00DE5637" w14:paraId="67F833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050765A"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59D94937"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Operating days, excluding ballast leg (1)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DA99D2"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04BFB2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DEE2C2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51FD39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053BC6"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0D2CE5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1,258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2425D96"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170CFAA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1,401</w:t>
            </w:r>
          </w:p>
        </w:tc>
      </w:tr>
      <w:tr w:rsidR="00DE5637" w14:paraId="25A643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7D9D23C"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A632861"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Operating days, including ballast leg (2)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910F040"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9DD870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916E08"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03710F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351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93528F"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DD32E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1,515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9BC71BE"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D648DF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1,422</w:t>
            </w:r>
          </w:p>
        </w:tc>
      </w:tr>
      <w:tr w:rsidR="00DE5637" w14:paraId="5378B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6755D26"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0F836F9F"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Fleet utilization, excluding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5DE122"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6C929BE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66.0%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F74FDB5"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5635F98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89.9%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FB24B5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260040C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74.5%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C146B0"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7BC1C39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92.4%</w:t>
            </w:r>
          </w:p>
        </w:tc>
      </w:tr>
      <w:tr w:rsidR="00DE5637" w14:paraId="615A4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A43A8A1"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70A91595"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Fleet utilization, including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ADE0F4"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269BB2C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83.4%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274B39"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047DA10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95.6%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9647ED"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3A52418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89.7%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A82672"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4DD78D7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93.8%</w:t>
            </w:r>
          </w:p>
        </w:tc>
      </w:tr>
      <w:tr w:rsidR="00DE5637" w14:paraId="3959A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5FF44721"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DE5637" w14:paraId="1679E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E77839E"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0A0116E6"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6D8288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D96CA7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10,114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CE2C6E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2F6175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23,153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5EA22B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242DC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18,745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A22B2D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03398C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15,435</w:t>
            </w:r>
          </w:p>
        </w:tc>
      </w:tr>
      <w:tr w:rsidR="00DE5637" w14:paraId="3F8F6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CC2C929"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7AC083B"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DC48D3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86A18E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6,265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94AFA6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C76795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7,098</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819288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8340EB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6,835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026711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5DCDE9C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7,468</w:t>
            </w:r>
          </w:p>
        </w:tc>
      </w:tr>
      <w:tr w:rsidR="00DE5637" w14:paraId="7CC0E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C11DE7F"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0" w:type="dxa"/>
              <w:right w:w="0" w:type="dxa"/>
            </w:tcMar>
            <w:vAlign w:val="bottom"/>
          </w:tcPr>
          <w:p w14:paraId="5491981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08457AF"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2024D0A8"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3F658F14"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362EC82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3BC0A056"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67D3D0DE"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400B562"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0" w:type="dxa"/>
              <w:right w:w="0" w:type="dxa"/>
            </w:tcMar>
            <w:vAlign w:val="bottom"/>
          </w:tcPr>
          <w:p w14:paraId="6A3B372F" w14:textId="77777777" w:rsidR="00DE5637" w:rsidRDefault="00DE5637">
            <w:pPr>
              <w:spacing w:after="0" w:line="240" w:lineRule="auto"/>
              <w:rPr>
                <w:rFonts w:ascii="Calibri" w:eastAsia="Calibri" w:hAnsi="Calibri" w:cs="Calibri"/>
                <w:color w:val="000000"/>
                <w:sz w:val="20"/>
              </w:rPr>
            </w:pPr>
          </w:p>
        </w:tc>
      </w:tr>
    </w:tbl>
    <w:p w14:paraId="0EF61EB3" w14:textId="77777777" w:rsidR="005C44B1" w:rsidRDefault="005C44B1">
      <w:r>
        <w:br w:type="page"/>
      </w:r>
    </w:p>
    <w:tbl>
      <w:tblPr>
        <w:tblStyle w:val="CDMRange1"/>
        <w:tblW w:w="106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5"/>
        <w:gridCol w:w="3885"/>
        <w:gridCol w:w="180"/>
        <w:gridCol w:w="1470"/>
        <w:gridCol w:w="180"/>
        <w:gridCol w:w="1470"/>
        <w:gridCol w:w="180"/>
        <w:gridCol w:w="1470"/>
        <w:gridCol w:w="180"/>
        <w:gridCol w:w="1455"/>
      </w:tblGrid>
      <w:tr w:rsidR="00DE5637" w:rsidRPr="00B762BD" w14:paraId="72377FAB"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30473B3"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0" w:type="dxa"/>
              <w:right w:w="0" w:type="dxa"/>
            </w:tcMar>
            <w:vAlign w:val="bottom"/>
          </w:tcPr>
          <w:p w14:paraId="2CD7561F"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C0FB0A9" w14:textId="77777777" w:rsidR="00DE5637" w:rsidRDefault="00DE5637">
            <w:pPr>
              <w:spacing w:after="0" w:line="240" w:lineRule="auto"/>
              <w:jc w:val="right"/>
              <w:rPr>
                <w:rFonts w:ascii="Calibri" w:eastAsia="Calibri" w:hAnsi="Calibri" w:cs="Calibri"/>
                <w:color w:val="000000"/>
                <w:sz w:val="20"/>
              </w:rPr>
            </w:pPr>
          </w:p>
        </w:tc>
        <w:tc>
          <w:tcPr>
            <w:tcW w:w="3120" w:type="dxa"/>
            <w:gridSpan w:val="3"/>
            <w:tcBorders>
              <w:top w:val="nil"/>
              <w:left w:val="nil"/>
              <w:bottom w:val="nil"/>
              <w:right w:val="nil"/>
              <w:tl2br w:val="nil"/>
              <w:tr2bl w:val="nil"/>
            </w:tcBorders>
            <w:shd w:val="clear" w:color="auto" w:fill="auto"/>
            <w:tcMar>
              <w:left w:w="40" w:type="dxa"/>
              <w:right w:w="40" w:type="dxa"/>
            </w:tcMar>
            <w:vAlign w:val="bottom"/>
          </w:tcPr>
          <w:p w14:paraId="60F93595"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3898E70" w14:textId="77777777" w:rsidR="00DE5637" w:rsidRPr="00E863AD" w:rsidRDefault="00DE5637">
            <w:pPr>
              <w:spacing w:after="0" w:line="240" w:lineRule="auto"/>
              <w:jc w:val="center"/>
              <w:rPr>
                <w:rFonts w:ascii="Calibri" w:eastAsia="Calibri" w:hAnsi="Calibri" w:cs="Calibri"/>
                <w:b/>
                <w:color w:val="000000"/>
                <w:sz w:val="18"/>
                <w:lang w:val="en-US"/>
              </w:rPr>
            </w:pPr>
          </w:p>
        </w:tc>
        <w:tc>
          <w:tcPr>
            <w:tcW w:w="3105" w:type="dxa"/>
            <w:gridSpan w:val="3"/>
            <w:tcBorders>
              <w:top w:val="nil"/>
              <w:left w:val="nil"/>
              <w:bottom w:val="nil"/>
              <w:right w:val="nil"/>
              <w:tl2br w:val="nil"/>
              <w:tr2bl w:val="nil"/>
            </w:tcBorders>
            <w:shd w:val="clear" w:color="auto" w:fill="auto"/>
            <w:tcMar>
              <w:left w:w="40" w:type="dxa"/>
              <w:right w:w="40" w:type="dxa"/>
            </w:tcMar>
            <w:vAlign w:val="bottom"/>
          </w:tcPr>
          <w:p w14:paraId="5F2A3B72"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years ended December 31,</w:t>
            </w:r>
          </w:p>
        </w:tc>
      </w:tr>
      <w:tr w:rsidR="00DE5637" w14:paraId="25DD3520"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629BB9B" w14:textId="77777777" w:rsidR="00DE5637" w:rsidRPr="00E863AD" w:rsidRDefault="00DE5637">
            <w:pPr>
              <w:spacing w:after="0" w:line="240" w:lineRule="auto"/>
              <w:rPr>
                <w:rFonts w:ascii="Calibri" w:eastAsia="Calibri" w:hAnsi="Calibri" w:cs="Calibri"/>
                <w:color w:val="000000"/>
                <w:sz w:val="20"/>
                <w:lang w:val="en-US"/>
              </w:rPr>
            </w:pPr>
          </w:p>
        </w:tc>
        <w:tc>
          <w:tcPr>
            <w:tcW w:w="3885" w:type="dxa"/>
            <w:tcBorders>
              <w:top w:val="nil"/>
              <w:left w:val="nil"/>
              <w:bottom w:val="nil"/>
              <w:right w:val="nil"/>
              <w:tl2br w:val="nil"/>
              <w:tr2bl w:val="nil"/>
            </w:tcBorders>
            <w:shd w:val="clear" w:color="auto" w:fill="auto"/>
            <w:tcMar>
              <w:left w:w="0" w:type="dxa"/>
              <w:right w:w="0" w:type="dxa"/>
            </w:tcMar>
            <w:vAlign w:val="bottom"/>
          </w:tcPr>
          <w:p w14:paraId="1A0F0626"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D6B954E"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334B9F56"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72C8373" w14:textId="77777777" w:rsidR="00DE5637" w:rsidRDefault="00DE5637">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01BBD17C"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D603B85" w14:textId="77777777" w:rsidR="00DE5637" w:rsidRDefault="00DE5637">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0FD81D03"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0DDAF57" w14:textId="77777777" w:rsidR="00DE5637" w:rsidRDefault="00DE5637">
            <w:pPr>
              <w:spacing w:after="0" w:line="240" w:lineRule="auto"/>
              <w:jc w:val="center"/>
              <w:rPr>
                <w:rFonts w:ascii="Calibri" w:eastAsia="Calibri" w:hAnsi="Calibri" w:cs="Calibri"/>
                <w:b/>
                <w:color w:val="000000"/>
                <w:sz w:val="20"/>
              </w:rPr>
            </w:pPr>
          </w:p>
        </w:tc>
        <w:tc>
          <w:tcPr>
            <w:tcW w:w="1455" w:type="dxa"/>
            <w:tcBorders>
              <w:top w:val="nil"/>
              <w:left w:val="nil"/>
              <w:bottom w:val="single" w:sz="4" w:space="0" w:color="000000"/>
              <w:right w:val="nil"/>
              <w:tl2br w:val="nil"/>
              <w:tr2bl w:val="nil"/>
            </w:tcBorders>
            <w:shd w:val="clear" w:color="auto" w:fill="auto"/>
            <w:tcMar>
              <w:left w:w="40" w:type="dxa"/>
              <w:right w:w="40" w:type="dxa"/>
            </w:tcMar>
            <w:vAlign w:val="bottom"/>
          </w:tcPr>
          <w:p w14:paraId="039C7FBD"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r>
      <w:tr w:rsidR="00DE5637" w14:paraId="21D2C154"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24BE0B2"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0" w:type="dxa"/>
              <w:right w:w="0" w:type="dxa"/>
            </w:tcMar>
            <w:vAlign w:val="bottom"/>
          </w:tcPr>
          <w:p w14:paraId="23F7DEDD"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72D81B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7D69450"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E048F83"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002753F"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58D7DD" w14:textId="77777777" w:rsidR="00DE5637" w:rsidRDefault="00DE5637">
            <w:pPr>
              <w:spacing w:after="0" w:line="240" w:lineRule="auto"/>
              <w:jc w:val="center"/>
              <w:rPr>
                <w:rFonts w:ascii="Calibri" w:eastAsia="Calibri" w:hAnsi="Calibri" w:cs="Calibri"/>
                <w:color w:val="000000"/>
                <w:sz w:val="18"/>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05E1B4B"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549D633" w14:textId="77777777" w:rsidR="00DE5637" w:rsidRDefault="00DE5637">
            <w:pPr>
              <w:spacing w:after="0" w:line="240" w:lineRule="auto"/>
              <w:jc w:val="center"/>
              <w:rPr>
                <w:rFonts w:ascii="Calibri" w:eastAsia="Calibri" w:hAnsi="Calibri" w:cs="Calibri"/>
                <w:color w:val="000000"/>
                <w:sz w:val="20"/>
              </w:rPr>
            </w:pPr>
          </w:p>
        </w:tc>
        <w:tc>
          <w:tcPr>
            <w:tcW w:w="145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CAB4716"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DE5637" w:rsidRPr="00B762BD" w14:paraId="5DC9A66E" w14:textId="77777777" w:rsidTr="005C44B1">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2D4F7F0B"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STATEMENT OF OPERATIONS DATA (in thousands of US Dollars):</w:t>
            </w:r>
          </w:p>
        </w:tc>
      </w:tr>
      <w:tr w:rsidR="00DE5637" w14:paraId="3C98E6E8" w14:textId="77777777" w:rsidTr="005C44B1">
        <w:trPr>
          <w:trHeight w:val="270"/>
        </w:trPr>
        <w:tc>
          <w:tcPr>
            <w:tcW w:w="4080" w:type="dxa"/>
            <w:gridSpan w:val="2"/>
            <w:tcBorders>
              <w:top w:val="nil"/>
              <w:left w:val="nil"/>
              <w:bottom w:val="nil"/>
              <w:right w:val="nil"/>
              <w:tl2br w:val="nil"/>
              <w:tr2bl w:val="nil"/>
            </w:tcBorders>
            <w:shd w:val="clear" w:color="auto" w:fill="auto"/>
            <w:tcMar>
              <w:left w:w="40" w:type="dxa"/>
              <w:right w:w="40" w:type="dxa"/>
            </w:tcMar>
            <w:vAlign w:val="bottom"/>
          </w:tcPr>
          <w:p w14:paraId="1C02B735" w14:textId="77777777" w:rsidR="00DE5637" w:rsidRDefault="005C5928">
            <w:pPr>
              <w:spacing w:after="0" w:line="240" w:lineRule="auto"/>
              <w:rPr>
                <w:rFonts w:ascii="Calibri" w:eastAsia="Calibri" w:hAnsi="Calibri" w:cs="Calibri"/>
                <w:b/>
                <w:color w:val="000000"/>
                <w:sz w:val="20"/>
                <w:u w:val="single"/>
              </w:rPr>
            </w:pPr>
            <w:r>
              <w:rPr>
                <w:rFonts w:ascii="Calibri" w:eastAsia="Calibri" w:hAnsi="Calibri" w:cs="Calibri"/>
                <w:b/>
                <w:color w:val="000000"/>
                <w:sz w:val="20"/>
                <w:u w:val="single"/>
              </w:rPr>
              <w:t>CONTINUING OPERATIONS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F3B3FA7"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0F05A384"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65EBB1E"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5B3D68A1"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DE3D68E"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08AAFF46"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30FD34F" w14:textId="77777777" w:rsidR="00DE5637" w:rsidRDefault="00DE5637">
            <w:pPr>
              <w:spacing w:after="0" w:line="240" w:lineRule="auto"/>
              <w:rPr>
                <w:rFonts w:ascii="Calibri" w:eastAsia="Calibri" w:hAnsi="Calibri" w:cs="Calibri"/>
                <w:b/>
                <w:color w:val="000000"/>
                <w:sz w:val="20"/>
              </w:rPr>
            </w:pPr>
          </w:p>
        </w:tc>
        <w:tc>
          <w:tcPr>
            <w:tcW w:w="1455" w:type="dxa"/>
            <w:tcBorders>
              <w:top w:val="nil"/>
              <w:left w:val="nil"/>
              <w:bottom w:val="nil"/>
              <w:right w:val="nil"/>
              <w:tl2br w:val="nil"/>
              <w:tr2bl w:val="nil"/>
            </w:tcBorders>
            <w:shd w:val="clear" w:color="auto" w:fill="auto"/>
            <w:tcMar>
              <w:left w:w="0" w:type="dxa"/>
              <w:right w:w="0" w:type="dxa"/>
            </w:tcMar>
            <w:vAlign w:val="bottom"/>
          </w:tcPr>
          <w:p w14:paraId="312A3DFD" w14:textId="77777777" w:rsidR="00DE5637" w:rsidRDefault="00DE5637">
            <w:pPr>
              <w:spacing w:after="0" w:line="240" w:lineRule="auto"/>
              <w:rPr>
                <w:rFonts w:ascii="Calibri" w:eastAsia="Calibri" w:hAnsi="Calibri" w:cs="Calibri"/>
                <w:b/>
                <w:color w:val="000000"/>
                <w:sz w:val="20"/>
              </w:rPr>
            </w:pPr>
          </w:p>
        </w:tc>
      </w:tr>
      <w:tr w:rsidR="00DE5637" w14:paraId="5E59045A"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0DF1D82"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1A7BEC28"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F1F6B8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36D38A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7,205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023C00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68B9AF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5,050</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4C4292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46BA4F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42,045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0A3A15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14:paraId="4071871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6,301</w:t>
            </w:r>
          </w:p>
        </w:tc>
      </w:tr>
      <w:tr w:rsidR="00DE5637" w14:paraId="0C33D7CA"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808DFF7"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2784D675"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E24042C"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6C0D24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3,311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E4F6315"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698D11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1,928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F99CBCD"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A2C41A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14,434</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EDF76C4"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4DDC018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2,460</w:t>
            </w:r>
          </w:p>
        </w:tc>
      </w:tr>
      <w:tr w:rsidR="00DE5637" w14:paraId="7177EE7F"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BEA0CE4"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1CFD5CA0"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ED718C7"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CDE5C0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2,412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97DCBFD"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4A07996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800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093EA5E"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592E09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9,208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EBF6696"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1FCF5EE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1,122</w:t>
            </w:r>
          </w:p>
        </w:tc>
      </w:tr>
      <w:tr w:rsidR="00DE5637" w14:paraId="7ABCD124"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1057BA5"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A65260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56FF5FD"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733CCDE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EB37BA4"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469B3E4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(1,371)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CB14C2A"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48C3B25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2,295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69D673C"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2F8E220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(6,743)</w:t>
            </w:r>
          </w:p>
        </w:tc>
      </w:tr>
      <w:tr w:rsidR="00DE5637" w14:paraId="19B9F87B"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8B0476B"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5DB09894"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ADA5542"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0505A99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54876FA"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08091C3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(1,371)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08CBAE1"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1EA337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3,708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0C51B05"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04AA70E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(6,743)</w:t>
            </w:r>
          </w:p>
        </w:tc>
      </w:tr>
      <w:tr w:rsidR="00DE5637" w14:paraId="433EE579"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E7E40C2"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1C86FD30"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1ABE273"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3A1AF83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7B251A5"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4EF2FFB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(0.35)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B498C23"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F92077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0.76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0341CAC"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3A3CA2D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(2.35)</w:t>
            </w:r>
          </w:p>
        </w:tc>
      </w:tr>
      <w:tr w:rsidR="00DE5637" w14:paraId="35E84CF0"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EF6199D"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224180E4"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5FA7109"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33CF47A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1FD96C8"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688E55D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(0.35)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77F00A1"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E47E1D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0.75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6AF447A"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4CE2DA9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(2.35)</w:t>
            </w:r>
          </w:p>
        </w:tc>
      </w:tr>
      <w:tr w:rsidR="00DE5637" w14:paraId="404CEE5D" w14:textId="77777777" w:rsidTr="005C44B1">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2BDC5F9E"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DE5637" w14:paraId="2C2EDB25"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26147F0"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4911C07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108B5D"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ABF403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6100248"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F345EB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239004"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A58BF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9CA6B9B"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158F0E9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w:t>
            </w:r>
          </w:p>
        </w:tc>
      </w:tr>
      <w:tr w:rsidR="00DE5637" w14:paraId="03B66B57"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C99E7B2"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575A558E"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F9103C6"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94A9EF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C05F7C"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51C136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204955"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EA9F43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90B57AB" w14:textId="77777777" w:rsidR="00DE5637" w:rsidRDefault="00DE5637">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32F2BF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w:t>
            </w:r>
          </w:p>
        </w:tc>
      </w:tr>
      <w:tr w:rsidR="00DE5637" w14:paraId="7B4829BA"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8409C76"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1BF02A8"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D5ABD2"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B2D410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2463B1"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9112EF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3441712"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635EDB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1,365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DEE9AEA"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5B9FDB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188</w:t>
            </w:r>
          </w:p>
        </w:tc>
      </w:tr>
      <w:tr w:rsidR="00DE5637" w14:paraId="5F85AF5D"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A75BE55"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2137CCD"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0A7879C"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60A3BE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1A994D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1BEE5B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37FD547"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A25F44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1,365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D197926"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35497E7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188</w:t>
            </w:r>
          </w:p>
        </w:tc>
      </w:tr>
      <w:tr w:rsidR="00DE5637" w14:paraId="30A46D28"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6A56099"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17790F2"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Operating days, excluding ballast leg (1)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30052B4"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E71A57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E5E3E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6640F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7A6DC21"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757D35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945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F530239"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3E89343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138</w:t>
            </w:r>
          </w:p>
        </w:tc>
      </w:tr>
      <w:tr w:rsidR="00DE5637" w14:paraId="0A61EE21"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EFC6F33"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2542BEF0"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Operating days, including ballast leg (2)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A3B4A3"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F55949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31B08F"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A4F19A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98860C"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15B346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1,202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F73109"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0020EE4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159</w:t>
            </w:r>
          </w:p>
        </w:tc>
      </w:tr>
      <w:tr w:rsidR="00DE5637" w14:paraId="005F31D4"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9F91907"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1442187C"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Fleet utilization, excluding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B2120E"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386B881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66.0%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50AE81"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02433DA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77.3%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8A1827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171601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69.2%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237B07A"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6D7A1AB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73.4%</w:t>
            </w:r>
          </w:p>
        </w:tc>
      </w:tr>
      <w:tr w:rsidR="00DE5637" w14:paraId="2197D9E4"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F073B99"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3865585"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Fleet utilization, including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38B979F" w14:textId="77777777" w:rsidR="00DE5637" w:rsidRPr="00E863AD" w:rsidRDefault="00DE5637">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5D44937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83.4%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ADA1ADE"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0C4579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93.2%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063A402"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6997C6E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88.1%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B76901"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5D4455A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84.6%</w:t>
            </w:r>
          </w:p>
        </w:tc>
      </w:tr>
      <w:tr w:rsidR="00DE5637" w14:paraId="554D48CE" w14:textId="77777777" w:rsidTr="005C44B1">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598EC5F6"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DE5637" w14:paraId="705A2CB3"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0EEE9E5"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88FAE9D"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B2A8E4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AA04FE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10,114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326D16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33C068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23,652</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0D3460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432645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20,228</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C4049B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959428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20,431</w:t>
            </w:r>
          </w:p>
        </w:tc>
      </w:tr>
      <w:tr w:rsidR="00DE5637" w14:paraId="499D1BA9"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E71D260"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7FA096BF"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EC4107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2B8F22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6,265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C2EE09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D69F41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6,061</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4C4FE6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46081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6,746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548410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FF3DE1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5,968</w:t>
            </w:r>
          </w:p>
        </w:tc>
      </w:tr>
      <w:tr w:rsidR="00DE5637" w14:paraId="14DA5124"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B3AF87D" w14:textId="77777777" w:rsidR="00DE5637" w:rsidRDefault="00DE5637">
            <w:pPr>
              <w:spacing w:after="0" w:line="240" w:lineRule="auto"/>
              <w:rPr>
                <w:rFonts w:ascii="Calibri" w:eastAsia="Calibri" w:hAnsi="Calibri" w:cs="Calibri"/>
                <w:color w:val="000000"/>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105BA1F0" w14:textId="77777777" w:rsidR="00DE5637" w:rsidRDefault="00DE5637">
            <w:pPr>
              <w:spacing w:after="0" w:line="240" w:lineRule="auto"/>
              <w:rPr>
                <w:rFonts w:ascii="Calibri" w:eastAsia="Calibri" w:hAnsi="Calibri" w:cs="Calibri"/>
                <w:color w:val="00000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6603574" w14:textId="77777777" w:rsidR="00DE5637" w:rsidRDefault="00DE5637">
            <w:pPr>
              <w:spacing w:after="0" w:line="240" w:lineRule="auto"/>
              <w:rPr>
                <w:rFonts w:ascii="Calibri" w:eastAsia="Calibri" w:hAnsi="Calibri" w:cs="Calibri"/>
                <w:color w:val="00000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53EF5EA2" w14:textId="77777777" w:rsidR="00DE5637" w:rsidRDefault="00DE5637">
            <w:pPr>
              <w:spacing w:after="0" w:line="240" w:lineRule="auto"/>
              <w:rPr>
                <w:rFonts w:ascii="Calibri" w:eastAsia="Calibri" w:hAnsi="Calibri" w:cs="Calibri"/>
                <w:color w:val="00000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0E4F3C" w14:textId="77777777" w:rsidR="00DE5637" w:rsidRDefault="00DE5637">
            <w:pPr>
              <w:spacing w:after="0" w:line="240" w:lineRule="auto"/>
              <w:rPr>
                <w:rFonts w:ascii="Calibri" w:eastAsia="Calibri" w:hAnsi="Calibri" w:cs="Calibri"/>
                <w:color w:val="00000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3D02773B" w14:textId="77777777" w:rsidR="00DE5637" w:rsidRDefault="00DE5637">
            <w:pPr>
              <w:spacing w:after="0" w:line="240" w:lineRule="auto"/>
              <w:rPr>
                <w:rFonts w:ascii="Calibri" w:eastAsia="Calibri" w:hAnsi="Calibri" w:cs="Calibri"/>
                <w:color w:val="00000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A4E262" w14:textId="77777777" w:rsidR="00DE5637" w:rsidRDefault="00DE5637">
            <w:pPr>
              <w:spacing w:after="0" w:line="240" w:lineRule="auto"/>
              <w:rPr>
                <w:rFonts w:ascii="Calibri" w:eastAsia="Calibri" w:hAnsi="Calibri" w:cs="Calibri"/>
                <w:color w:val="000000"/>
              </w:rPr>
            </w:pPr>
          </w:p>
        </w:tc>
        <w:tc>
          <w:tcPr>
            <w:tcW w:w="1470" w:type="dxa"/>
            <w:tcBorders>
              <w:top w:val="nil"/>
              <w:left w:val="nil"/>
              <w:bottom w:val="nil"/>
              <w:right w:val="nil"/>
              <w:tl2br w:val="nil"/>
              <w:tr2bl w:val="nil"/>
            </w:tcBorders>
            <w:shd w:val="clear" w:color="auto" w:fill="auto"/>
            <w:noWrap/>
            <w:tcMar>
              <w:left w:w="0" w:type="dxa"/>
              <w:right w:w="0" w:type="dxa"/>
            </w:tcMar>
            <w:vAlign w:val="bottom"/>
          </w:tcPr>
          <w:p w14:paraId="2A8D9C2D" w14:textId="77777777" w:rsidR="00DE5637" w:rsidRDefault="00DE5637">
            <w:pPr>
              <w:spacing w:after="0" w:line="240" w:lineRule="auto"/>
              <w:rPr>
                <w:rFonts w:ascii="Calibri" w:eastAsia="Calibri" w:hAnsi="Calibri" w:cs="Calibri"/>
                <w:color w:val="00000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5AD2445" w14:textId="77777777" w:rsidR="00DE5637" w:rsidRDefault="00DE5637">
            <w:pPr>
              <w:spacing w:after="0" w:line="240" w:lineRule="auto"/>
              <w:rPr>
                <w:rFonts w:ascii="Calibri" w:eastAsia="Calibri" w:hAnsi="Calibri" w:cs="Calibri"/>
                <w:color w:val="000000"/>
              </w:rPr>
            </w:pPr>
          </w:p>
        </w:tc>
        <w:tc>
          <w:tcPr>
            <w:tcW w:w="1455" w:type="dxa"/>
            <w:tcBorders>
              <w:top w:val="nil"/>
              <w:left w:val="nil"/>
              <w:bottom w:val="nil"/>
              <w:right w:val="nil"/>
              <w:tl2br w:val="nil"/>
              <w:tr2bl w:val="nil"/>
            </w:tcBorders>
            <w:shd w:val="clear" w:color="auto" w:fill="auto"/>
            <w:noWrap/>
            <w:tcMar>
              <w:left w:w="0" w:type="dxa"/>
              <w:right w:w="0" w:type="dxa"/>
            </w:tcMar>
            <w:vAlign w:val="bottom"/>
          </w:tcPr>
          <w:p w14:paraId="2E552E34" w14:textId="77777777" w:rsidR="00DE5637" w:rsidRDefault="00DE5637">
            <w:pPr>
              <w:spacing w:after="0" w:line="240" w:lineRule="auto"/>
              <w:rPr>
                <w:rFonts w:ascii="Calibri" w:eastAsia="Calibri" w:hAnsi="Calibri" w:cs="Calibri"/>
                <w:color w:val="000000"/>
              </w:rPr>
            </w:pPr>
          </w:p>
        </w:tc>
      </w:tr>
      <w:tr w:rsidR="00DE5637" w14:paraId="23F9D1F4" w14:textId="77777777" w:rsidTr="005C44B1">
        <w:trPr>
          <w:trHeight w:val="300"/>
        </w:trPr>
        <w:tc>
          <w:tcPr>
            <w:tcW w:w="4080" w:type="dxa"/>
            <w:gridSpan w:val="2"/>
            <w:tcBorders>
              <w:top w:val="nil"/>
              <w:left w:val="nil"/>
              <w:bottom w:val="nil"/>
              <w:right w:val="nil"/>
              <w:tl2br w:val="nil"/>
              <w:tr2bl w:val="nil"/>
            </w:tcBorders>
            <w:shd w:val="clear" w:color="auto" w:fill="auto"/>
            <w:tcMar>
              <w:left w:w="40" w:type="dxa"/>
              <w:right w:w="40" w:type="dxa"/>
            </w:tcMar>
            <w:vAlign w:val="bottom"/>
          </w:tcPr>
          <w:p w14:paraId="16679A29" w14:textId="77777777" w:rsidR="00DE5637" w:rsidRDefault="005C5928">
            <w:pPr>
              <w:spacing w:after="0" w:line="240" w:lineRule="auto"/>
              <w:rPr>
                <w:rFonts w:ascii="Calibri" w:eastAsia="Calibri" w:hAnsi="Calibri" w:cs="Calibri"/>
                <w:b/>
                <w:color w:val="000000"/>
                <w:sz w:val="20"/>
                <w:u w:val="single"/>
              </w:rPr>
            </w:pPr>
            <w:r>
              <w:rPr>
                <w:rFonts w:ascii="Calibri" w:eastAsia="Calibri" w:hAnsi="Calibri" w:cs="Calibri"/>
                <w:b/>
                <w:color w:val="000000"/>
                <w:sz w:val="20"/>
                <w:u w:val="single"/>
              </w:rPr>
              <w:t>DISCONTINUED OPERATIONS (5)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F91E6B2"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3B4BFF4D"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D8DEF22"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791BD419"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3BA4C0BD" w14:textId="77777777" w:rsidR="00DE5637" w:rsidRDefault="00DE5637">
            <w:pPr>
              <w:spacing w:after="0" w:line="240" w:lineRule="auto"/>
              <w:rPr>
                <w:rFonts w:ascii="Calibri" w:eastAsia="Calibri" w:hAnsi="Calibri" w:cs="Calibri"/>
                <w:b/>
                <w:color w:val="000000"/>
                <w:sz w:val="20"/>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3A82DDAA"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97E95C7" w14:textId="77777777" w:rsidR="00DE5637" w:rsidRDefault="00DE5637">
            <w:pPr>
              <w:spacing w:after="0" w:line="240" w:lineRule="auto"/>
              <w:rPr>
                <w:rFonts w:ascii="Calibri" w:eastAsia="Calibri" w:hAnsi="Calibri" w:cs="Calibri"/>
                <w:b/>
                <w:color w:val="000000"/>
                <w:sz w:val="20"/>
              </w:rPr>
            </w:pPr>
          </w:p>
        </w:tc>
        <w:tc>
          <w:tcPr>
            <w:tcW w:w="1455" w:type="dxa"/>
            <w:tcBorders>
              <w:top w:val="nil"/>
              <w:left w:val="nil"/>
              <w:bottom w:val="nil"/>
              <w:right w:val="nil"/>
              <w:tl2br w:val="nil"/>
              <w:tr2bl w:val="nil"/>
            </w:tcBorders>
            <w:shd w:val="clear" w:color="auto" w:fill="auto"/>
            <w:tcMar>
              <w:left w:w="0" w:type="dxa"/>
              <w:right w:w="0" w:type="dxa"/>
            </w:tcMar>
            <w:vAlign w:val="bottom"/>
          </w:tcPr>
          <w:p w14:paraId="1844D706" w14:textId="77777777" w:rsidR="00DE5637" w:rsidRDefault="00DE5637">
            <w:pPr>
              <w:spacing w:after="0" w:line="240" w:lineRule="auto"/>
              <w:rPr>
                <w:rFonts w:ascii="Calibri" w:eastAsia="Calibri" w:hAnsi="Calibri" w:cs="Calibri"/>
                <w:b/>
                <w:color w:val="000000"/>
                <w:sz w:val="20"/>
              </w:rPr>
            </w:pPr>
          </w:p>
        </w:tc>
      </w:tr>
      <w:tr w:rsidR="00DE5637" w14:paraId="490D47C3"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1F85023"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E272807"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Time charter revenues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F37822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F89553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296A4E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840F2C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5,530</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EAFAE3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4BB449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4,238</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F43B2D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14:paraId="2331D03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20,545</w:t>
            </w:r>
          </w:p>
        </w:tc>
      </w:tr>
      <w:tr w:rsidR="00DE5637" w14:paraId="05DDD1F8"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D86DAC2"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598312ED"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479EEC2"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4C9481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8DF7C5C"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0B2C5B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558C837"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A05B6A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83DFCBD"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3D15BC1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987</w:t>
            </w:r>
          </w:p>
        </w:tc>
      </w:tr>
      <w:tr w:rsidR="00DE5637" w14:paraId="5F5DF023"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9CCC421"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2F8CDFD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A73D0E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8224F0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73E142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3983C3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1,805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24AE338"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DFBC1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2,336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E4E27A1"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47533D2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10,199</w:t>
            </w:r>
          </w:p>
        </w:tc>
      </w:tr>
      <w:tr w:rsidR="00DE5637" w14:paraId="4112941C"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1D248EE"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B44A09C"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2D26BD2"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D7F276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216E179"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32D4B70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(10,857)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57D3EE3"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0E253A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1,482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5B0B2B9"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36C5106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(25,314)</w:t>
            </w:r>
          </w:p>
        </w:tc>
      </w:tr>
      <w:tr w:rsidR="00DE5637" w14:paraId="4488DC41" w14:textId="77777777" w:rsidTr="005C44B1">
        <w:trPr>
          <w:trHeight w:val="52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0C8D077"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2F213FD"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BF59194"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6DE906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3559E83"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06AECB7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(10,857)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AC0D086"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20C904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1,482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707C757"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10771C6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(25,314)</w:t>
            </w:r>
          </w:p>
        </w:tc>
      </w:tr>
      <w:tr w:rsidR="00DE5637" w14:paraId="5BBE6D2A"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1767EBB"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9E8B2F6"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F2657D6"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D04B01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7E44C3B"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4C4D403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(2.82)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AA61E9B"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1F0EDD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0.30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2E1EAAF"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5FF52CA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(8.84)</w:t>
            </w:r>
          </w:p>
        </w:tc>
      </w:tr>
      <w:tr w:rsidR="00DE5637" w14:paraId="09FD72D6"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36EB914" w14:textId="77777777" w:rsidR="00DE5637" w:rsidRDefault="00DE5637">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9BEFF6B"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F598CD3"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97C7C8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7C13277"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69B9AB4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(2.82)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2ED083B" w14:textId="77777777" w:rsidR="00DE5637" w:rsidRDefault="00DE56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A618AD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0.30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B171D0F" w14:textId="77777777" w:rsidR="00DE5637" w:rsidRDefault="00DE56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40C2BD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(8.84)</w:t>
            </w:r>
          </w:p>
        </w:tc>
      </w:tr>
      <w:tr w:rsidR="00DE5637" w14:paraId="24C1D1DE" w14:textId="77777777" w:rsidTr="005C44B1">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5B2B3CA1"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DE5637" w14:paraId="3EC74E3E"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A9D0246"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46CFBFD"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40BFA77"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A94941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102805C"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8033E3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F776474"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2559C1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530CFB"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225CA1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3.6</w:t>
            </w:r>
          </w:p>
        </w:tc>
      </w:tr>
      <w:tr w:rsidR="00DE5637" w14:paraId="6211FA0F"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F117198"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5B3FC29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818E3C3"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DE67F9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B89B57" w14:textId="77777777" w:rsidR="00DE5637" w:rsidRDefault="00DE5637">
            <w:pPr>
              <w:spacing w:after="0" w:line="240" w:lineRule="auto"/>
              <w:jc w:val="center"/>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B2C454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C6990A0"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8DE24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3BEAB9" w14:textId="77777777" w:rsidR="00DE5637" w:rsidRDefault="00DE5637">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3EA8856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w:t>
            </w:r>
          </w:p>
        </w:tc>
      </w:tr>
      <w:tr w:rsidR="00DE5637" w14:paraId="22E947A2"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6B2FC25"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7B800A74"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A1DFD5F"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B8E21A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AE7636"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DF9CE6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3704EFC"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693064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1644E0C"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012F90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1,328</w:t>
            </w:r>
          </w:p>
        </w:tc>
      </w:tr>
      <w:tr w:rsidR="00DE5637" w14:paraId="1F30F7DD"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A6DD882"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1317D815"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4C963D7"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D07EA2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3AE92BE"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B403BD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235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43B4FD"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283359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EAC8A80"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5C4A086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1,328</w:t>
            </w:r>
          </w:p>
        </w:tc>
      </w:tr>
      <w:tr w:rsidR="00DE5637" w14:paraId="48B6BE3C"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4A1A5B7"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85F1B72"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Operating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3ACC692"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64AA6E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F2D4C5"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6D9816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228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1452ACD"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587B5A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5127A2"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E6A226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1,263</w:t>
            </w:r>
          </w:p>
        </w:tc>
      </w:tr>
      <w:tr w:rsidR="00DE5637" w14:paraId="0CA762DF" w14:textId="77777777" w:rsidTr="005C44B1">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5ACD519"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7277D6A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Fleet utilization</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A71C151"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791230B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E4CDA7"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69B2576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97.0%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9D02584" w14:textId="77777777" w:rsidR="00DE5637" w:rsidRDefault="00DE56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413C390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96.6%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63C589" w14:textId="77777777" w:rsidR="00DE5637" w:rsidRDefault="00DE56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149E015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95.1%</w:t>
            </w:r>
          </w:p>
        </w:tc>
      </w:tr>
      <w:tr w:rsidR="00DE5637" w14:paraId="731A9097" w14:textId="77777777" w:rsidTr="005C44B1">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0C88B1D3"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DE5637" w14:paraId="4B818076"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D29DFBF"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2A799BFF"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66257E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55D34A0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5CCCEB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D22C48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22,872</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9D95F0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31F8B6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12,500</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C33ABA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354C4F0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14,727</w:t>
            </w:r>
          </w:p>
        </w:tc>
      </w:tr>
      <w:tr w:rsidR="00DE5637" w14:paraId="5A33C2F8" w14:textId="77777777" w:rsidTr="005C44B1">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22A076F" w14:textId="77777777" w:rsidR="00DE5637" w:rsidRDefault="00DE5637">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616BFB9F"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6A0FBD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68EA7BB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697F03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DE67F2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7,681</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EA92F4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B88439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7,210</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594B3B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4BE78F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7,680</w:t>
            </w:r>
          </w:p>
        </w:tc>
      </w:tr>
    </w:tbl>
    <w:p w14:paraId="0ECB8E1F" w14:textId="77777777" w:rsidR="00DE5637" w:rsidRDefault="00DE5637">
      <w:pPr>
        <w:spacing w:after="0" w:line="240" w:lineRule="auto"/>
        <w:rPr>
          <w:rFonts w:cs="Calibri"/>
        </w:rPr>
      </w:pPr>
    </w:p>
    <w:p w14:paraId="3217EF90" w14:textId="77777777" w:rsidR="000A2F9A" w:rsidRDefault="005C5928"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14:paraId="5B4E38E8" w14:textId="77777777" w:rsidR="00E37DCD" w:rsidRDefault="005C5928" w:rsidP="00C01403">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Pr>
          <w:rFonts w:cs="Calibri"/>
          <w:sz w:val="20"/>
          <w:lang w:val="en-GB"/>
        </w:rPr>
        <w:t>, excluding ballast leg,</w:t>
      </w:r>
      <w:r w:rsidRPr="00E37DCD">
        <w:rPr>
          <w:rFonts w:cs="Calibri"/>
          <w:sz w:val="20"/>
          <w:lang w:val="en-GB"/>
        </w:rPr>
        <w:t xml:space="preserve"> are the number of available days in a period less the aggregate number of days that our vessels are off-hire. </w:t>
      </w:r>
      <w:r>
        <w:rPr>
          <w:rFonts w:cs="Calibri"/>
          <w:sz w:val="20"/>
          <w:lang w:val="en-GB"/>
        </w:rPr>
        <w:t xml:space="preserve">The specific calculation counts </w:t>
      </w:r>
      <w:r w:rsidR="00E423D4">
        <w:rPr>
          <w:rFonts w:cs="Calibri"/>
          <w:sz w:val="20"/>
          <w:lang w:val="en-GB"/>
        </w:rPr>
        <w:t xml:space="preserve">the ballast leg of spot voyages </w:t>
      </w:r>
      <w:r>
        <w:rPr>
          <w:rFonts w:cs="Calibri"/>
          <w:sz w:val="20"/>
          <w:lang w:val="en-GB"/>
        </w:rPr>
        <w:t xml:space="preserve">as off-hire days, </w:t>
      </w:r>
      <w:r w:rsidR="00E423D4">
        <w:rPr>
          <w:rFonts w:cs="Calibri"/>
          <w:sz w:val="20"/>
          <w:lang w:val="en-GB"/>
        </w:rPr>
        <w:t xml:space="preserve">even if a charter party exists, </w:t>
      </w:r>
      <w:r>
        <w:rPr>
          <w:rFonts w:cs="Calibri"/>
          <w:sz w:val="20"/>
          <w:lang w:val="en-GB"/>
        </w:rPr>
        <w:t>so as to be in line with the accounting guidelines of ASC 606 for the revenue recognition</w:t>
      </w:r>
      <w:r w:rsidR="00E423D4">
        <w:rPr>
          <w:rFonts w:cs="Calibri"/>
          <w:sz w:val="20"/>
          <w:lang w:val="en-GB"/>
        </w:rPr>
        <w:t xml:space="preserve"> (“loading” to “discharging” accounting).</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14:paraId="62EA1510" w14:textId="77777777" w:rsidR="00E37DCD" w:rsidRDefault="00E37DCD" w:rsidP="00E37DCD">
      <w:pPr>
        <w:pStyle w:val="ListParagraph"/>
        <w:tabs>
          <w:tab w:val="left" w:pos="-720"/>
          <w:tab w:val="left" w:pos="0"/>
        </w:tabs>
        <w:suppressAutoHyphens/>
        <w:spacing w:after="0" w:line="240" w:lineRule="auto"/>
        <w:jc w:val="both"/>
        <w:rPr>
          <w:rFonts w:cs="Calibri"/>
          <w:sz w:val="20"/>
          <w:lang w:val="en-GB"/>
        </w:rPr>
      </w:pPr>
    </w:p>
    <w:p w14:paraId="4936FF86" w14:textId="77777777" w:rsidR="00E37DCD" w:rsidRDefault="005C5928" w:rsidP="00E37DCD">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sidR="00E423D4">
        <w:rPr>
          <w:rFonts w:cs="Calibri"/>
          <w:sz w:val="20"/>
          <w:lang w:val="en-GB"/>
        </w:rPr>
        <w:t>, in</w:t>
      </w:r>
      <w:r>
        <w:rPr>
          <w:rFonts w:cs="Calibri"/>
          <w:sz w:val="20"/>
          <w:lang w:val="en-GB"/>
        </w:rPr>
        <w:t>cluding ballast leg,</w:t>
      </w:r>
      <w:r w:rsidRPr="00E37DCD">
        <w:rPr>
          <w:rFonts w:cs="Calibri"/>
          <w:sz w:val="20"/>
          <w:lang w:val="en-GB"/>
        </w:rPr>
        <w:t xml:space="preserve"> are the number of available days in a period less the aggregate number of days that our vessels are off-hire</w:t>
      </w:r>
      <w:r w:rsidR="00E423D4">
        <w:rPr>
          <w:rFonts w:cs="Calibri"/>
          <w:sz w:val="20"/>
          <w:lang w:val="en-GB"/>
        </w:rPr>
        <w:t>.</w:t>
      </w:r>
      <w:r w:rsidRPr="00E37DCD">
        <w:rPr>
          <w:rFonts w:cs="Calibri"/>
          <w:sz w:val="20"/>
          <w:lang w:val="en-GB"/>
        </w:rPr>
        <w:t xml:space="preserve"> </w:t>
      </w:r>
      <w:r>
        <w:rPr>
          <w:rFonts w:cs="Calibri"/>
          <w:sz w:val="20"/>
          <w:lang w:val="en-GB"/>
        </w:rPr>
        <w:t xml:space="preserve">The specific calculation </w:t>
      </w:r>
      <w:r w:rsidR="00E423D4">
        <w:rPr>
          <w:rFonts w:cs="Calibri"/>
          <w:sz w:val="20"/>
          <w:lang w:val="en-GB"/>
        </w:rPr>
        <w:t>does not count</w:t>
      </w:r>
      <w:r>
        <w:rPr>
          <w:rFonts w:cs="Calibri"/>
          <w:sz w:val="20"/>
          <w:lang w:val="en-GB"/>
        </w:rPr>
        <w:t xml:space="preserve"> as off-hire </w:t>
      </w:r>
      <w:r w:rsidR="00E423D4">
        <w:rPr>
          <w:rFonts w:cs="Calibri"/>
          <w:sz w:val="20"/>
          <w:lang w:val="en-GB"/>
        </w:rPr>
        <w:t xml:space="preserve">the </w:t>
      </w:r>
      <w:r>
        <w:rPr>
          <w:rFonts w:cs="Calibri"/>
          <w:sz w:val="20"/>
          <w:lang w:val="en-GB"/>
        </w:rPr>
        <w:t>days</w:t>
      </w:r>
      <w:r w:rsidR="00E423D4">
        <w:rPr>
          <w:rFonts w:cs="Calibri"/>
          <w:sz w:val="20"/>
          <w:lang w:val="en-GB"/>
        </w:rPr>
        <w:t xml:space="preserve"> of the ballast leg</w:t>
      </w:r>
      <w:r>
        <w:rPr>
          <w:rFonts w:cs="Calibri"/>
          <w:sz w:val="20"/>
          <w:lang w:val="en-GB"/>
        </w:rPr>
        <w:t xml:space="preserve"> of the spot voyages</w:t>
      </w:r>
      <w:r w:rsidR="00E423D4">
        <w:rPr>
          <w:rFonts w:cs="Calibri"/>
          <w:sz w:val="20"/>
          <w:lang w:val="en-GB"/>
        </w:rPr>
        <w:t>, as long as a charter party is in place</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14:paraId="5DF5830E" w14:textId="77777777" w:rsidR="00E37DCD" w:rsidRPr="00E37DCD" w:rsidRDefault="00E37DCD" w:rsidP="00E37DCD">
      <w:pPr>
        <w:tabs>
          <w:tab w:val="left" w:pos="-720"/>
          <w:tab w:val="left" w:pos="0"/>
        </w:tabs>
        <w:suppressAutoHyphens/>
        <w:spacing w:after="0" w:line="240" w:lineRule="auto"/>
        <w:jc w:val="both"/>
        <w:rPr>
          <w:rFonts w:cs="Calibri"/>
          <w:sz w:val="20"/>
          <w:lang w:val="en-GB"/>
        </w:rPr>
      </w:pPr>
    </w:p>
    <w:p w14:paraId="2EB1A5F3" w14:textId="75B5455D" w:rsidR="000A2F9A" w:rsidRPr="008F6963" w:rsidRDefault="005C5928" w:rsidP="00C01403">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8F6963">
        <w:rPr>
          <w:rFonts w:cs="Calibri"/>
          <w:sz w:val="20"/>
          <w:lang w:val="en-GB"/>
        </w:rPr>
        <w:t>Time charter equivalent rates, or TCE rates, are defined as our voyage and time charter revenues</w:t>
      </w:r>
      <w:r>
        <w:rPr>
          <w:rFonts w:cs="Calibri"/>
          <w:sz w:val="20"/>
          <w:lang w:val="en-GB"/>
        </w:rPr>
        <w:t>,</w:t>
      </w:r>
      <w:r w:rsidRPr="008F6963">
        <w:rPr>
          <w:rFonts w:cs="Calibri"/>
          <w:sz w:val="20"/>
          <w:lang w:val="en-GB"/>
        </w:rPr>
        <w:t xml:space="preserve"> less voyage expenses during a period divided by the number of our available days during the period, which is consistent with industry standards.  Voyage expenses include port charges, bunker (fuel) expenses, canal charges and commissions.  TCE is a non-GAAP measure. TCE rate is a standard shipping industry performance measure used primarily to compare daily earnings generated by vessels </w:t>
      </w:r>
      <w:bookmarkStart w:id="1" w:name="_DV_M319"/>
      <w:bookmarkEnd w:id="1"/>
      <w:r w:rsidRPr="008F6963">
        <w:rPr>
          <w:rFonts w:cs="Calibri"/>
          <w:sz w:val="20"/>
          <w:lang w:val="en-GB"/>
        </w:rPr>
        <w:t xml:space="preserve">despite changes in the mix of </w:t>
      </w:r>
      <w:r w:rsidR="00637977" w:rsidRPr="008F6963">
        <w:rPr>
          <w:rFonts w:cs="Calibri"/>
          <w:sz w:val="20"/>
          <w:lang w:val="en-GB"/>
        </w:rPr>
        <w:t>charter</w:t>
      </w:r>
      <w:r w:rsidRPr="008F6963">
        <w:rPr>
          <w:rFonts w:cs="Calibri"/>
          <w:sz w:val="20"/>
          <w:lang w:val="en-GB"/>
        </w:rPr>
        <w:t xml:space="preserve"> types (i.e., </w:t>
      </w:r>
      <w:r w:rsidR="00637977">
        <w:rPr>
          <w:rFonts w:cs="Calibri"/>
          <w:sz w:val="20"/>
          <w:lang w:val="en-GB"/>
        </w:rPr>
        <w:t>voyage (spot)</w:t>
      </w:r>
      <w:r w:rsidR="00637977" w:rsidRPr="008F6963">
        <w:rPr>
          <w:rFonts w:cs="Calibri"/>
          <w:sz w:val="20"/>
          <w:lang w:val="en-GB"/>
        </w:rPr>
        <w:t xml:space="preserve"> charters</w:t>
      </w:r>
      <w:r w:rsidRPr="008F6963">
        <w:rPr>
          <w:rFonts w:cs="Calibri"/>
          <w:sz w:val="20"/>
          <w:lang w:val="en-GB"/>
        </w:rPr>
        <w:t>, time charters and bareboat charters)</w:t>
      </w:r>
      <w:r>
        <w:rPr>
          <w:rFonts w:cs="Calibri"/>
          <w:sz w:val="20"/>
          <w:lang w:val="en-GB"/>
        </w:rPr>
        <w:t>.</w:t>
      </w:r>
    </w:p>
    <w:p w14:paraId="70382A66" w14:textId="77777777" w:rsidR="008F6963" w:rsidRPr="008F6963" w:rsidRDefault="008F6963" w:rsidP="005213D7">
      <w:pPr>
        <w:tabs>
          <w:tab w:val="left" w:pos="-720"/>
          <w:tab w:val="left" w:pos="0"/>
        </w:tabs>
        <w:suppressAutoHyphens/>
        <w:spacing w:after="0" w:line="240" w:lineRule="auto"/>
        <w:jc w:val="both"/>
        <w:rPr>
          <w:rFonts w:cs="Calibri"/>
          <w:sz w:val="20"/>
          <w:lang w:val="en-GB"/>
        </w:rPr>
      </w:pPr>
    </w:p>
    <w:p w14:paraId="35BF8411" w14:textId="77777777" w:rsidR="000A2F9A" w:rsidRPr="005213D7" w:rsidRDefault="005C5928" w:rsidP="005213D7">
      <w:pPr>
        <w:pStyle w:val="ListParagraph"/>
        <w:numPr>
          <w:ilvl w:val="0"/>
          <w:numId w:val="2"/>
        </w:numPr>
        <w:tabs>
          <w:tab w:val="left" w:pos="-720"/>
          <w:tab w:val="left" w:pos="0"/>
        </w:tabs>
        <w:suppressAutoHyphens/>
        <w:spacing w:after="0" w:line="240" w:lineRule="auto"/>
        <w:ind w:hanging="720"/>
        <w:jc w:val="both"/>
        <w:rPr>
          <w:rFonts w:cs="Calibri"/>
          <w:sz w:val="20"/>
          <w:lang w:val="en-GB"/>
        </w:rPr>
      </w:pPr>
      <w:bookmarkStart w:id="2" w:name="_DV_M320"/>
      <w:bookmarkEnd w:id="2"/>
      <w:r w:rsidRPr="005213D7">
        <w:rPr>
          <w:rFonts w:cs="Calibri"/>
          <w:sz w:val="20"/>
          <w:lang w:val="en-GB"/>
        </w:rPr>
        <w:t xml:space="preserve">Daily vessel operating expenses, which include crew wages and related costs, the cost of insurance and vessel registry, expenses relating to repairs and maintenance, the costs of spares and consumable stores, lubricant costs, tonnage taxes, regulatory fees, environmental costs, lay-up expenses and other miscellaneous expenses, are calculated by dividing vessel operating expenses by ownership days for the relevant period. </w:t>
      </w:r>
    </w:p>
    <w:p w14:paraId="0F3A4124" w14:textId="77777777" w:rsidR="005213D7" w:rsidRPr="005213D7" w:rsidRDefault="005213D7" w:rsidP="005213D7">
      <w:pPr>
        <w:pStyle w:val="ListParagraph"/>
        <w:tabs>
          <w:tab w:val="left" w:pos="-720"/>
          <w:tab w:val="left" w:pos="0"/>
        </w:tabs>
        <w:suppressAutoHyphens/>
        <w:spacing w:after="0" w:line="240" w:lineRule="auto"/>
        <w:jc w:val="both"/>
        <w:rPr>
          <w:rFonts w:cs="Calibri"/>
          <w:sz w:val="20"/>
          <w:lang w:val="en-GB"/>
        </w:rPr>
      </w:pPr>
    </w:p>
    <w:p w14:paraId="48E1C810" w14:textId="77777777" w:rsidR="005213D7" w:rsidRPr="005213D7" w:rsidRDefault="005C5928" w:rsidP="005213D7">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Pr>
          <w:rFonts w:cs="Calibri"/>
          <w:sz w:val="20"/>
          <w:lang w:val="en-GB"/>
        </w:rPr>
        <w:t>Discontinued Operations refer to our container vessels segment.</w:t>
      </w:r>
    </w:p>
    <w:tbl>
      <w:tblPr>
        <w:tblStyle w:val="CDMRange2"/>
        <w:tblW w:w="10785" w:type="dxa"/>
        <w:tblLayout w:type="fixed"/>
        <w:tblLook w:val="0600" w:firstRow="0" w:lastRow="0" w:firstColumn="0" w:lastColumn="0" w:noHBand="1" w:noVBand="1"/>
      </w:tblPr>
      <w:tblGrid>
        <w:gridCol w:w="315"/>
        <w:gridCol w:w="1155"/>
        <w:gridCol w:w="690"/>
        <w:gridCol w:w="1155"/>
        <w:gridCol w:w="1695"/>
        <w:gridCol w:w="855"/>
        <w:gridCol w:w="555"/>
        <w:gridCol w:w="1380"/>
        <w:gridCol w:w="1185"/>
        <w:gridCol w:w="1800"/>
      </w:tblGrid>
      <w:tr w:rsidR="00DE5637" w:rsidRPr="00B762BD" w14:paraId="52F81A5C" w14:textId="77777777">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14:paraId="18C4DA51" w14:textId="77777777" w:rsidR="00DE5637" w:rsidRPr="00E863AD" w:rsidRDefault="005C5928">
            <w:pPr>
              <w:pageBreakBefore/>
              <w:spacing w:after="0" w:line="240" w:lineRule="auto"/>
              <w:rPr>
                <w:rFonts w:ascii="Calibri" w:eastAsia="Calibri" w:hAnsi="Calibri" w:cs="Calibri"/>
                <w:b/>
                <w:color w:val="000000"/>
                <w:sz w:val="18"/>
                <w:lang w:val="en-US"/>
              </w:rPr>
            </w:pPr>
            <w:r w:rsidRPr="00E863AD">
              <w:rPr>
                <w:rFonts w:ascii="Calibri" w:eastAsia="Calibri" w:hAnsi="Calibri" w:cs="Calibri"/>
                <w:b/>
                <w:color w:val="000000"/>
                <w:sz w:val="18"/>
                <w:lang w:val="en-US"/>
              </w:rPr>
              <w:t>Fleet Employment Prof</w:t>
            </w:r>
            <w:r w:rsidR="00AC7DDE">
              <w:rPr>
                <w:rFonts w:ascii="Calibri" w:eastAsia="Calibri" w:hAnsi="Calibri" w:cs="Calibri"/>
                <w:b/>
                <w:color w:val="000000"/>
                <w:sz w:val="18"/>
                <w:lang w:val="en-US"/>
              </w:rPr>
              <w:t>ile (As of March [5</w:t>
            </w:r>
            <w:r w:rsidRPr="00E863AD">
              <w:rPr>
                <w:rFonts w:ascii="Calibri" w:eastAsia="Calibri" w:hAnsi="Calibri" w:cs="Calibri"/>
                <w:b/>
                <w:color w:val="000000"/>
                <w:sz w:val="18"/>
                <w:lang w:val="en-US"/>
              </w:rPr>
              <w:t>], 2021)</w:t>
            </w:r>
          </w:p>
        </w:tc>
      </w:tr>
      <w:tr w:rsidR="00DE5637" w:rsidRPr="00B762BD" w14:paraId="1E9575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14:paraId="13181976" w14:textId="77777777" w:rsidR="00DE5637" w:rsidRPr="00E863AD" w:rsidRDefault="005C5928">
            <w:pPr>
              <w:spacing w:after="0" w:line="240" w:lineRule="auto"/>
              <w:rPr>
                <w:rFonts w:ascii="Calibri" w:eastAsia="Calibri" w:hAnsi="Calibri" w:cs="Calibri"/>
                <w:color w:val="000000"/>
                <w:sz w:val="18"/>
                <w:lang w:val="en-US"/>
              </w:rPr>
            </w:pPr>
            <w:r w:rsidRPr="00E863AD">
              <w:rPr>
                <w:rFonts w:ascii="Calibri" w:eastAsia="Calibri" w:hAnsi="Calibri" w:cs="Calibri"/>
                <w:color w:val="000000"/>
                <w:sz w:val="18"/>
                <w:lang w:val="en-US"/>
              </w:rPr>
              <w:t>Performance Shipping Inc.’s fleet is employed as follows:</w:t>
            </w:r>
          </w:p>
        </w:tc>
      </w:tr>
      <w:tr w:rsidR="00DE5637" w:rsidRPr="00B762BD" w14:paraId="18810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6D3DF5B" w14:textId="77777777" w:rsidR="00DE5637" w:rsidRPr="00E863AD" w:rsidRDefault="00DE5637">
            <w:pPr>
              <w:spacing w:after="0" w:line="240" w:lineRule="auto"/>
              <w:rPr>
                <w:rFonts w:ascii="Calibri" w:eastAsia="Calibri" w:hAnsi="Calibri" w:cs="Calibri"/>
                <w:color w:val="000000"/>
                <w:lang w:val="en-US"/>
              </w:rPr>
            </w:pPr>
          </w:p>
        </w:tc>
        <w:tc>
          <w:tcPr>
            <w:tcW w:w="11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92C8943" w14:textId="77777777" w:rsidR="00DE5637" w:rsidRPr="00E863AD" w:rsidRDefault="00DE5637">
            <w:pPr>
              <w:spacing w:after="0" w:line="240" w:lineRule="auto"/>
              <w:rPr>
                <w:rFonts w:ascii="Calibri" w:eastAsia="Calibri" w:hAnsi="Calibri" w:cs="Calibri"/>
                <w:color w:val="000000"/>
                <w:sz w:val="18"/>
                <w:lang w:val="en-US"/>
              </w:rPr>
            </w:pPr>
          </w:p>
        </w:tc>
        <w:tc>
          <w:tcPr>
            <w:tcW w:w="69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C9ABC0F" w14:textId="77777777" w:rsidR="00DE5637" w:rsidRPr="00E863AD" w:rsidRDefault="00DE5637">
            <w:pPr>
              <w:spacing w:after="0" w:line="240" w:lineRule="auto"/>
              <w:rPr>
                <w:rFonts w:ascii="Calibri" w:eastAsia="Calibri" w:hAnsi="Calibri" w:cs="Calibri"/>
                <w:color w:val="000000"/>
                <w:sz w:val="18"/>
                <w:lang w:val="en-US"/>
              </w:rPr>
            </w:pPr>
          </w:p>
        </w:tc>
        <w:tc>
          <w:tcPr>
            <w:tcW w:w="11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072D7ACC" w14:textId="77777777" w:rsidR="00DE5637" w:rsidRPr="00E863AD" w:rsidRDefault="00DE5637">
            <w:pPr>
              <w:spacing w:after="0" w:line="240" w:lineRule="auto"/>
              <w:rPr>
                <w:rFonts w:ascii="Calibri" w:eastAsia="Calibri" w:hAnsi="Calibri" w:cs="Calibri"/>
                <w:color w:val="000000"/>
                <w:sz w:val="18"/>
                <w:lang w:val="en-US"/>
              </w:rPr>
            </w:pPr>
          </w:p>
        </w:tc>
        <w:tc>
          <w:tcPr>
            <w:tcW w:w="169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6CC946F" w14:textId="77777777" w:rsidR="00DE5637" w:rsidRPr="00E863AD" w:rsidRDefault="00DE5637">
            <w:pPr>
              <w:spacing w:after="0" w:line="240" w:lineRule="auto"/>
              <w:rPr>
                <w:rFonts w:ascii="Calibri" w:eastAsia="Calibri" w:hAnsi="Calibri" w:cs="Calibri"/>
                <w:color w:val="000000"/>
                <w:sz w:val="18"/>
                <w:lang w:val="en-US"/>
              </w:rPr>
            </w:pPr>
          </w:p>
        </w:tc>
        <w:tc>
          <w:tcPr>
            <w:tcW w:w="8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1676C99" w14:textId="77777777" w:rsidR="00DE5637" w:rsidRPr="00E863AD" w:rsidRDefault="00DE5637">
            <w:pPr>
              <w:spacing w:after="0" w:line="240" w:lineRule="auto"/>
              <w:jc w:val="center"/>
              <w:rPr>
                <w:rFonts w:ascii="Calibri" w:eastAsia="Calibri" w:hAnsi="Calibri" w:cs="Calibri"/>
                <w:color w:val="000000"/>
                <w:sz w:val="18"/>
                <w:lang w:val="en-US"/>
              </w:rPr>
            </w:pPr>
          </w:p>
        </w:tc>
        <w:tc>
          <w:tcPr>
            <w:tcW w:w="5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17BDF03E" w14:textId="77777777" w:rsidR="00DE5637" w:rsidRPr="00E863AD" w:rsidRDefault="00DE5637">
            <w:pPr>
              <w:spacing w:after="0" w:line="240" w:lineRule="auto"/>
              <w:rPr>
                <w:rFonts w:ascii="Calibri" w:eastAsia="Calibri" w:hAnsi="Calibri" w:cs="Calibri"/>
                <w:color w:val="000000"/>
                <w:sz w:val="18"/>
                <w:lang w:val="en-US"/>
              </w:rPr>
            </w:pPr>
          </w:p>
        </w:tc>
        <w:tc>
          <w:tcPr>
            <w:tcW w:w="138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CB63903" w14:textId="77777777" w:rsidR="00DE5637" w:rsidRPr="00E863AD" w:rsidRDefault="00DE5637">
            <w:pPr>
              <w:spacing w:after="0" w:line="240" w:lineRule="auto"/>
              <w:jc w:val="center"/>
              <w:rPr>
                <w:rFonts w:ascii="Calibri" w:eastAsia="Calibri" w:hAnsi="Calibri" w:cs="Calibri"/>
                <w:color w:val="000000"/>
                <w:sz w:val="18"/>
                <w:lang w:val="en-US"/>
              </w:rPr>
            </w:pPr>
          </w:p>
        </w:tc>
        <w:tc>
          <w:tcPr>
            <w:tcW w:w="118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5B614AA" w14:textId="77777777" w:rsidR="00DE5637" w:rsidRPr="00E863AD" w:rsidRDefault="00DE5637">
            <w:pPr>
              <w:spacing w:after="0" w:line="240" w:lineRule="auto"/>
              <w:jc w:val="center"/>
              <w:rPr>
                <w:rFonts w:ascii="Calibri" w:eastAsia="Calibri" w:hAnsi="Calibri" w:cs="Calibri"/>
                <w:color w:val="000000"/>
                <w:sz w:val="18"/>
                <w:lang w:val="en-US"/>
              </w:rPr>
            </w:pPr>
          </w:p>
        </w:tc>
        <w:tc>
          <w:tcPr>
            <w:tcW w:w="18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554378E0" w14:textId="77777777" w:rsidR="00DE5637" w:rsidRPr="00E863AD" w:rsidRDefault="00DE5637">
            <w:pPr>
              <w:spacing w:after="0" w:line="240" w:lineRule="auto"/>
              <w:rPr>
                <w:rFonts w:ascii="Calibri" w:eastAsia="Calibri" w:hAnsi="Calibri" w:cs="Calibri"/>
                <w:color w:val="000000"/>
                <w:sz w:val="18"/>
                <w:lang w:val="en-US"/>
              </w:rPr>
            </w:pPr>
          </w:p>
        </w:tc>
      </w:tr>
      <w:tr w:rsidR="00DE5637" w14:paraId="1AC053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2A33F1D5" w14:textId="77777777" w:rsidR="00DE5637" w:rsidRPr="00E863AD" w:rsidRDefault="00DE5637">
            <w:pPr>
              <w:spacing w:after="0" w:line="240" w:lineRule="auto"/>
              <w:rPr>
                <w:rFonts w:ascii="Calibri" w:eastAsia="Calibri" w:hAnsi="Calibri" w:cs="Calibri"/>
                <w:color w:val="000000"/>
                <w:lang w:val="en-US"/>
              </w:rPr>
            </w:pPr>
          </w:p>
        </w:tc>
        <w:tc>
          <w:tcPr>
            <w:tcW w:w="11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25D14675"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Vessel</w:t>
            </w:r>
          </w:p>
        </w:tc>
        <w:tc>
          <w:tcPr>
            <w:tcW w:w="69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6888B451"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Year of Built</w:t>
            </w:r>
          </w:p>
        </w:tc>
        <w:tc>
          <w:tcPr>
            <w:tcW w:w="11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5F7A8202"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Capacity</w:t>
            </w:r>
          </w:p>
        </w:tc>
        <w:tc>
          <w:tcPr>
            <w:tcW w:w="169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79DA66DB"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Builder</w:t>
            </w:r>
          </w:p>
        </w:tc>
        <w:tc>
          <w:tcPr>
            <w:tcW w:w="8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AA8E17C" w14:textId="77777777" w:rsidR="00DE5637" w:rsidRPr="00E863AD" w:rsidRDefault="005C5928">
            <w:pPr>
              <w:spacing w:after="0" w:line="240" w:lineRule="auto"/>
              <w:jc w:val="center"/>
              <w:rPr>
                <w:rFonts w:ascii="Calibri" w:eastAsia="Calibri" w:hAnsi="Calibri" w:cs="Calibri"/>
                <w:b/>
                <w:color w:val="000000"/>
                <w:sz w:val="16"/>
                <w:lang w:val="en-US"/>
              </w:rPr>
            </w:pPr>
            <w:r w:rsidRPr="00E863AD">
              <w:rPr>
                <w:rFonts w:ascii="Calibri" w:eastAsia="Calibri" w:hAnsi="Calibri" w:cs="Calibri"/>
                <w:b/>
                <w:color w:val="000000"/>
                <w:sz w:val="16"/>
                <w:lang w:val="en-US"/>
              </w:rPr>
              <w:t>Gross Rate (USD Per Day)</w:t>
            </w:r>
          </w:p>
        </w:tc>
        <w:tc>
          <w:tcPr>
            <w:tcW w:w="5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BDF2A89"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Com*</w:t>
            </w:r>
          </w:p>
        </w:tc>
        <w:tc>
          <w:tcPr>
            <w:tcW w:w="138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B6FB777"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Charterers</w:t>
            </w:r>
          </w:p>
        </w:tc>
        <w:tc>
          <w:tcPr>
            <w:tcW w:w="118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17DE2713"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Delivery Date to Charterers</w:t>
            </w:r>
          </w:p>
        </w:tc>
        <w:tc>
          <w:tcPr>
            <w:tcW w:w="180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08DCB62"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Redelivery Date to Owners**</w:t>
            </w:r>
          </w:p>
        </w:tc>
      </w:tr>
      <w:tr w:rsidR="00DE5637" w14:paraId="2ACEE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5F4B95D7" w14:textId="77777777" w:rsidR="00DE5637" w:rsidRDefault="00DE5637">
            <w:pPr>
              <w:spacing w:after="0" w:line="240" w:lineRule="auto"/>
              <w:rPr>
                <w:rFonts w:ascii="Calibri" w:eastAsia="Calibri" w:hAnsi="Calibri" w:cs="Calibri"/>
                <w:color w:val="000000"/>
              </w:rPr>
            </w:pPr>
          </w:p>
        </w:tc>
        <w:tc>
          <w:tcPr>
            <w:tcW w:w="11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71C03EA1" w14:textId="77777777" w:rsidR="00DE5637" w:rsidRDefault="00DE5637">
            <w:pPr>
              <w:spacing w:after="0" w:line="240" w:lineRule="auto"/>
              <w:jc w:val="center"/>
              <w:rPr>
                <w:rFonts w:ascii="Calibri" w:eastAsia="Calibri" w:hAnsi="Calibri" w:cs="Calibri"/>
                <w:b/>
                <w:color w:val="000000"/>
                <w:sz w:val="16"/>
              </w:rPr>
            </w:pPr>
          </w:p>
        </w:tc>
        <w:tc>
          <w:tcPr>
            <w:tcW w:w="69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772FAB68" w14:textId="77777777" w:rsidR="00DE5637" w:rsidRDefault="00DE5637">
            <w:pPr>
              <w:spacing w:after="0" w:line="240" w:lineRule="auto"/>
              <w:jc w:val="center"/>
              <w:rPr>
                <w:rFonts w:ascii="Calibri" w:eastAsia="Calibri" w:hAnsi="Calibri" w:cs="Calibri"/>
                <w:b/>
                <w:color w:val="000000"/>
                <w:sz w:val="16"/>
              </w:rPr>
            </w:pPr>
          </w:p>
        </w:tc>
        <w:tc>
          <w:tcPr>
            <w:tcW w:w="11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7ACFBDD2" w14:textId="77777777" w:rsidR="00DE5637" w:rsidRDefault="00DE5637">
            <w:pPr>
              <w:spacing w:after="0" w:line="240" w:lineRule="auto"/>
              <w:jc w:val="center"/>
              <w:rPr>
                <w:rFonts w:ascii="Calibri" w:eastAsia="Calibri" w:hAnsi="Calibri" w:cs="Calibri"/>
                <w:b/>
                <w:color w:val="000000"/>
                <w:sz w:val="16"/>
              </w:rPr>
            </w:pPr>
          </w:p>
        </w:tc>
        <w:tc>
          <w:tcPr>
            <w:tcW w:w="169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0EB22A09" w14:textId="77777777" w:rsidR="00DE5637" w:rsidRDefault="00DE5637">
            <w:pPr>
              <w:spacing w:after="0" w:line="240" w:lineRule="auto"/>
              <w:jc w:val="center"/>
              <w:rPr>
                <w:rFonts w:ascii="Calibri" w:eastAsia="Calibri" w:hAnsi="Calibri" w:cs="Calibri"/>
                <w:b/>
                <w:color w:val="000000"/>
                <w:sz w:val="16"/>
              </w:rPr>
            </w:pPr>
          </w:p>
        </w:tc>
        <w:tc>
          <w:tcPr>
            <w:tcW w:w="8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640361C6" w14:textId="77777777" w:rsidR="00DE5637" w:rsidRDefault="00DE5637">
            <w:pPr>
              <w:spacing w:after="0" w:line="240" w:lineRule="auto"/>
              <w:jc w:val="center"/>
              <w:rPr>
                <w:rFonts w:ascii="Calibri" w:eastAsia="Calibri" w:hAnsi="Calibri" w:cs="Calibri"/>
                <w:b/>
                <w:color w:val="000000"/>
                <w:sz w:val="16"/>
              </w:rPr>
            </w:pPr>
          </w:p>
        </w:tc>
        <w:tc>
          <w:tcPr>
            <w:tcW w:w="5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70CAE635" w14:textId="77777777" w:rsidR="00DE5637" w:rsidRDefault="00DE5637">
            <w:pPr>
              <w:spacing w:after="0" w:line="240" w:lineRule="auto"/>
              <w:jc w:val="center"/>
              <w:rPr>
                <w:rFonts w:ascii="Calibri" w:eastAsia="Calibri" w:hAnsi="Calibri" w:cs="Calibri"/>
                <w:b/>
                <w:color w:val="000000"/>
                <w:sz w:val="16"/>
              </w:rPr>
            </w:pPr>
          </w:p>
        </w:tc>
        <w:tc>
          <w:tcPr>
            <w:tcW w:w="138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32EE7411" w14:textId="77777777" w:rsidR="00DE5637" w:rsidRDefault="00DE5637">
            <w:pPr>
              <w:spacing w:after="0" w:line="240" w:lineRule="auto"/>
              <w:jc w:val="center"/>
              <w:rPr>
                <w:rFonts w:ascii="Calibri" w:eastAsia="Calibri" w:hAnsi="Calibri" w:cs="Calibri"/>
                <w:b/>
                <w:color w:val="000000"/>
                <w:sz w:val="16"/>
              </w:rPr>
            </w:pPr>
          </w:p>
        </w:tc>
        <w:tc>
          <w:tcPr>
            <w:tcW w:w="118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00E790EA" w14:textId="77777777" w:rsidR="00DE5637" w:rsidRDefault="00DE5637">
            <w:pPr>
              <w:spacing w:after="0" w:line="240" w:lineRule="auto"/>
              <w:jc w:val="center"/>
              <w:rPr>
                <w:rFonts w:ascii="Calibri" w:eastAsia="Calibri" w:hAnsi="Calibri" w:cs="Calibri"/>
                <w:b/>
                <w:color w:val="000000"/>
                <w:sz w:val="16"/>
              </w:rPr>
            </w:pPr>
          </w:p>
        </w:tc>
        <w:tc>
          <w:tcPr>
            <w:tcW w:w="180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4EAF013A" w14:textId="77777777" w:rsidR="00DE5637" w:rsidRDefault="00DE5637">
            <w:pPr>
              <w:spacing w:after="0" w:line="240" w:lineRule="auto"/>
              <w:jc w:val="center"/>
              <w:rPr>
                <w:rFonts w:ascii="Calibri" w:eastAsia="Calibri" w:hAnsi="Calibri" w:cs="Calibri"/>
                <w:b/>
                <w:color w:val="000000"/>
                <w:sz w:val="16"/>
              </w:rPr>
            </w:pPr>
          </w:p>
        </w:tc>
      </w:tr>
      <w:tr w:rsidR="00DE5637" w14:paraId="7C9EF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5" w:type="dxa"/>
            <w:tcBorders>
              <w:top w:val="single" w:sz="8" w:space="0" w:color="000000"/>
              <w:left w:val="nil"/>
              <w:bottom w:val="single" w:sz="8" w:space="0" w:color="000000"/>
              <w:right w:val="nil"/>
              <w:tl2br w:val="nil"/>
              <w:tr2bl w:val="nil"/>
            </w:tcBorders>
            <w:shd w:val="clear" w:color="auto" w:fill="auto"/>
            <w:noWrap/>
            <w:tcMar>
              <w:left w:w="0" w:type="dxa"/>
              <w:right w:w="0" w:type="dxa"/>
            </w:tcMar>
            <w:vAlign w:val="bottom"/>
          </w:tcPr>
          <w:p w14:paraId="5F3EEBCC" w14:textId="77777777" w:rsidR="00DE5637" w:rsidRDefault="00DE5637">
            <w:pPr>
              <w:spacing w:after="0" w:line="240" w:lineRule="auto"/>
              <w:rPr>
                <w:rFonts w:ascii="Calibri" w:eastAsia="Calibri" w:hAnsi="Calibri" w:cs="Calibri"/>
                <w:color w:val="000000"/>
              </w:rPr>
            </w:pPr>
          </w:p>
        </w:tc>
        <w:tc>
          <w:tcPr>
            <w:tcW w:w="10470" w:type="dxa"/>
            <w:gridSpan w:val="9"/>
            <w:tcBorders>
              <w:top w:val="single" w:sz="8" w:space="0" w:color="000000"/>
              <w:left w:val="nil"/>
              <w:bottom w:val="single" w:sz="8" w:space="0" w:color="000000"/>
              <w:right w:val="nil"/>
              <w:tl2br w:val="nil"/>
              <w:tr2bl w:val="nil"/>
            </w:tcBorders>
            <w:shd w:val="clear" w:color="auto" w:fill="auto"/>
            <w:tcMar>
              <w:left w:w="40" w:type="dxa"/>
              <w:right w:w="40" w:type="dxa"/>
            </w:tcMar>
            <w:vAlign w:val="bottom"/>
          </w:tcPr>
          <w:p w14:paraId="0BE8CA21"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 xml:space="preserve">4 Aframax Tanker Vessels </w:t>
            </w:r>
          </w:p>
        </w:tc>
      </w:tr>
      <w:tr w:rsidR="00DE5637" w14:paraId="303E91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AB7BFDE" w14:textId="77777777" w:rsidR="00DE5637" w:rsidRDefault="005C5928">
            <w:pPr>
              <w:spacing w:after="0" w:line="240" w:lineRule="auto"/>
              <w:jc w:val="right"/>
              <w:rPr>
                <w:rFonts w:ascii="Calibri" w:eastAsia="Calibri" w:hAnsi="Calibri" w:cs="Calibri"/>
                <w:color w:val="000000"/>
                <w:sz w:val="16"/>
              </w:rPr>
            </w:pPr>
            <w:r>
              <w:rPr>
                <w:rFonts w:ascii="Calibri" w:eastAsia="Calibri" w:hAnsi="Calibri" w:cs="Calibri"/>
                <w:color w:val="000000"/>
                <w:sz w:val="16"/>
              </w:rPr>
              <w:t>1</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7648981D"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BLUE MOON</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5A008319"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2011</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60B24BF1"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104,623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3318520A"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 xml:space="preserve">Sumitomo Heavy Industries Marine &amp; Engineering Co., LTD. </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47101C47"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$28,000</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019B70B"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5.00%</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05900661"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Aramco Trading Company, Saudi Arabia</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01516181"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19-Jun-20</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2A163010"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19-Nov-21 - 18-Jan-22</w:t>
            </w:r>
          </w:p>
        </w:tc>
      </w:tr>
      <w:tr w:rsidR="00DE5637" w14:paraId="103532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B4DCBBC" w14:textId="77777777" w:rsidR="00DE5637" w:rsidRDefault="005C5928">
            <w:pPr>
              <w:spacing w:after="0" w:line="240" w:lineRule="auto"/>
              <w:jc w:val="right"/>
              <w:rPr>
                <w:rFonts w:ascii="Calibri" w:eastAsia="Calibri" w:hAnsi="Calibri" w:cs="Calibri"/>
                <w:color w:val="000000"/>
                <w:sz w:val="16"/>
              </w:rPr>
            </w:pPr>
            <w:r>
              <w:rPr>
                <w:rFonts w:ascii="Calibri" w:eastAsia="Calibri" w:hAnsi="Calibri" w:cs="Calibri"/>
                <w:color w:val="000000"/>
                <w:sz w:val="16"/>
              </w:rPr>
              <w:t>2</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28DD0DD"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BRIOLETTE</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35927D30"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2011</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4FD9582E"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104,588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6018A9F6"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 xml:space="preserve">Sumitomo Heavy Industries Marine &amp; Engineering Co., LTD. </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D3D269F"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1DFF7CF4"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6D695249"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7C86BCD1"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58069955"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r>
      <w:tr w:rsidR="00DE5637" w14:paraId="190A2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3CC78A6" w14:textId="77777777" w:rsidR="00DE5637" w:rsidRDefault="005C5928">
            <w:pPr>
              <w:spacing w:after="0" w:line="240" w:lineRule="auto"/>
              <w:jc w:val="right"/>
              <w:rPr>
                <w:rFonts w:ascii="Calibri" w:eastAsia="Calibri" w:hAnsi="Calibri" w:cs="Calibri"/>
                <w:color w:val="000000"/>
                <w:sz w:val="16"/>
              </w:rPr>
            </w:pPr>
            <w:r>
              <w:rPr>
                <w:rFonts w:ascii="Calibri" w:eastAsia="Calibri" w:hAnsi="Calibri" w:cs="Calibri"/>
                <w:color w:val="000000"/>
                <w:sz w:val="16"/>
              </w:rPr>
              <w:t>3</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363D7729"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P. FOS</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6F112739"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2007</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001AB2EB"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115,577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1B4E8291"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Sasebo Heavy Industries Co. Ltd</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DF3BA10"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7A35C150"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7B462188"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4C8147D4"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16AD7FBD"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r>
      <w:tr w:rsidR="00DE5637" w14:paraId="7FBCA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4D920E6" w14:textId="77777777" w:rsidR="00DE5637" w:rsidRDefault="005C5928">
            <w:pPr>
              <w:spacing w:after="0" w:line="240" w:lineRule="auto"/>
              <w:jc w:val="right"/>
              <w:rPr>
                <w:rFonts w:ascii="Calibri" w:eastAsia="Calibri" w:hAnsi="Calibri" w:cs="Calibri"/>
                <w:color w:val="000000"/>
                <w:sz w:val="16"/>
              </w:rPr>
            </w:pPr>
            <w:r>
              <w:rPr>
                <w:rFonts w:ascii="Calibri" w:eastAsia="Calibri" w:hAnsi="Calibri" w:cs="Calibri"/>
                <w:color w:val="000000"/>
                <w:sz w:val="16"/>
              </w:rPr>
              <w:t>4</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08CFE017"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P. KIKUMA</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29D47F3D"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2007</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822196E"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115,915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2F367BBC"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 xml:space="preserve">Samsung Heavy Industries Co Ltd., </w:t>
            </w:r>
            <w:proofErr w:type="spellStart"/>
            <w:r w:rsidRPr="00E863AD">
              <w:rPr>
                <w:rFonts w:ascii="Calibri" w:eastAsia="Calibri" w:hAnsi="Calibri" w:cs="Calibri"/>
                <w:color w:val="000000"/>
                <w:sz w:val="16"/>
                <w:lang w:val="en-US"/>
              </w:rPr>
              <w:t>Geoje</w:t>
            </w:r>
            <w:proofErr w:type="spellEnd"/>
            <w:r w:rsidRPr="00E863AD">
              <w:rPr>
                <w:rFonts w:ascii="Calibri" w:eastAsia="Calibri" w:hAnsi="Calibri" w:cs="Calibri"/>
                <w:color w:val="000000"/>
                <w:sz w:val="16"/>
                <w:lang w:val="en-US"/>
              </w:rPr>
              <w:t>, South Korea</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835AEEA"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1E843C20"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5203476E"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62D81C74"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17C871A6"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r>
      <w:tr w:rsidR="00DE5637" w14:paraId="479FF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14:paraId="03B2DBD9" w14:textId="77777777" w:rsidR="00DE5637" w:rsidRDefault="005C5928">
            <w:pPr>
              <w:spacing w:after="0" w:line="240" w:lineRule="auto"/>
              <w:jc w:val="right"/>
              <w:rPr>
                <w:rFonts w:ascii="Calibri" w:eastAsia="Calibri" w:hAnsi="Calibri" w:cs="Calibri"/>
                <w:color w:val="000000"/>
                <w:sz w:val="16"/>
              </w:rPr>
            </w:pPr>
            <w:r>
              <w:rPr>
                <w:rFonts w:ascii="Calibri" w:eastAsia="Calibri" w:hAnsi="Calibri" w:cs="Calibri"/>
                <w:color w:val="000000"/>
                <w:sz w:val="16"/>
              </w:rPr>
              <w:t>5</w:t>
            </w:r>
          </w:p>
        </w:tc>
        <w:tc>
          <w:tcPr>
            <w:tcW w:w="11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7FA8C5A8"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P. YANBU</w:t>
            </w:r>
          </w:p>
        </w:tc>
        <w:tc>
          <w:tcPr>
            <w:tcW w:w="69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08B3B638"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2011</w:t>
            </w:r>
          </w:p>
        </w:tc>
        <w:tc>
          <w:tcPr>
            <w:tcW w:w="11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7162434E" w14:textId="77777777" w:rsidR="00DE5637" w:rsidRDefault="005C5928">
            <w:pPr>
              <w:spacing w:after="0" w:line="240" w:lineRule="auto"/>
              <w:rPr>
                <w:rFonts w:ascii="Calibri" w:eastAsia="Calibri" w:hAnsi="Calibri" w:cs="Calibri"/>
                <w:color w:val="000000"/>
                <w:sz w:val="16"/>
              </w:rPr>
            </w:pPr>
            <w:r>
              <w:rPr>
                <w:rFonts w:ascii="Calibri" w:eastAsia="Calibri" w:hAnsi="Calibri" w:cs="Calibri"/>
                <w:color w:val="000000"/>
                <w:sz w:val="16"/>
              </w:rPr>
              <w:t>105,391 DWT</w:t>
            </w:r>
          </w:p>
        </w:tc>
        <w:tc>
          <w:tcPr>
            <w:tcW w:w="169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61BCF3AE" w14:textId="77777777" w:rsidR="00DE5637" w:rsidRPr="00E863AD" w:rsidRDefault="005C5928">
            <w:pPr>
              <w:spacing w:after="0" w:line="240" w:lineRule="auto"/>
              <w:jc w:val="center"/>
              <w:rPr>
                <w:rFonts w:ascii="Calibri" w:eastAsia="Calibri" w:hAnsi="Calibri" w:cs="Calibri"/>
                <w:color w:val="000000"/>
                <w:sz w:val="16"/>
                <w:lang w:val="en-US"/>
              </w:rPr>
            </w:pPr>
            <w:r w:rsidRPr="00E863AD">
              <w:rPr>
                <w:rFonts w:ascii="Calibri" w:eastAsia="Calibri" w:hAnsi="Calibri" w:cs="Calibri"/>
                <w:color w:val="000000"/>
                <w:sz w:val="16"/>
                <w:lang w:val="en-US"/>
              </w:rPr>
              <w:t xml:space="preserve">Sumitomo Heavy Industries Marine &amp; Engineering Co., LTD. </w:t>
            </w:r>
          </w:p>
        </w:tc>
        <w:tc>
          <w:tcPr>
            <w:tcW w:w="8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28DD4D14"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4CE2BD33"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31812B90"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43710B94" w14:textId="77777777" w:rsidR="00DE5637" w:rsidRDefault="005C5928">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62D6058E" w14:textId="77777777" w:rsidR="00DE5637" w:rsidRDefault="005C5928">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r>
      <w:tr w:rsidR="00DE5637" w:rsidRPr="00B762BD" w14:paraId="01191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14:paraId="5F8B611A" w14:textId="77777777" w:rsidR="00DE5637" w:rsidRPr="00E863AD" w:rsidRDefault="005C5928">
            <w:pPr>
              <w:spacing w:after="0" w:line="240" w:lineRule="auto"/>
              <w:rPr>
                <w:rFonts w:ascii="Calibri" w:eastAsia="Calibri" w:hAnsi="Calibri" w:cs="Calibri"/>
                <w:color w:val="000000"/>
                <w:sz w:val="16"/>
                <w:lang w:val="en-US"/>
              </w:rPr>
            </w:pPr>
            <w:r w:rsidRPr="00E863AD">
              <w:rPr>
                <w:rFonts w:ascii="Calibri" w:eastAsia="Calibri" w:hAnsi="Calibri" w:cs="Calibri"/>
                <w:color w:val="000000"/>
                <w:sz w:val="16"/>
                <w:lang w:val="en-US"/>
              </w:rPr>
              <w:t>* Total commission paid to third parties.</w:t>
            </w:r>
          </w:p>
        </w:tc>
      </w:tr>
      <w:tr w:rsidR="00DE5637" w:rsidRPr="00B762BD" w14:paraId="6F7C26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14:paraId="39CC4913" w14:textId="77777777" w:rsidR="00DE5637" w:rsidRDefault="005C5928">
            <w:pPr>
              <w:spacing w:after="0" w:line="240" w:lineRule="auto"/>
              <w:rPr>
                <w:rFonts w:ascii="Calibri" w:eastAsia="Calibri" w:hAnsi="Calibri" w:cs="Calibri"/>
                <w:color w:val="000000"/>
                <w:sz w:val="16"/>
                <w:lang w:val="en-US"/>
              </w:rPr>
            </w:pPr>
            <w:r w:rsidRPr="00E863AD">
              <w:rPr>
                <w:rFonts w:ascii="Calibri" w:eastAsia="Calibri" w:hAnsi="Calibri" w:cs="Calibri"/>
                <w:color w:val="000000"/>
                <w:sz w:val="16"/>
                <w:lang w:val="en-US"/>
              </w:rPr>
              <w:t>** Range of redelivery dates, with the actual date of redelivery being at the Charterers’ option, but subject to the terms, conditions, and exceptions of the particular charterparty.</w:t>
            </w:r>
          </w:p>
          <w:p w14:paraId="6D1C3DCF" w14:textId="77777777" w:rsidR="007C1680" w:rsidRPr="00E863AD" w:rsidRDefault="007C1680">
            <w:pPr>
              <w:spacing w:after="0" w:line="240" w:lineRule="auto"/>
              <w:rPr>
                <w:rFonts w:ascii="Calibri" w:eastAsia="Calibri" w:hAnsi="Calibri" w:cs="Calibri"/>
                <w:color w:val="000000"/>
                <w:sz w:val="16"/>
                <w:lang w:val="en-US"/>
              </w:rPr>
            </w:pPr>
          </w:p>
        </w:tc>
      </w:tr>
    </w:tbl>
    <w:p w14:paraId="08E4E46A" w14:textId="77777777" w:rsidR="007C1680" w:rsidRDefault="007C1680" w:rsidP="007C1680">
      <w:pPr>
        <w:pStyle w:val="NoSpacing"/>
        <w:jc w:val="both"/>
        <w:rPr>
          <w:rFonts w:cs="Calibri"/>
          <w:b/>
          <w:bCs/>
          <w:lang w:val="en-GB"/>
        </w:rPr>
      </w:pPr>
    </w:p>
    <w:p w14:paraId="501B6C15" w14:textId="77777777" w:rsidR="007C1680" w:rsidRDefault="007C1680" w:rsidP="007C1680">
      <w:pPr>
        <w:pStyle w:val="NoSpacing"/>
        <w:jc w:val="both"/>
        <w:rPr>
          <w:rFonts w:cs="Calibri"/>
          <w:b/>
          <w:bCs/>
          <w:lang w:val="en-GB"/>
        </w:rPr>
      </w:pPr>
    </w:p>
    <w:p w14:paraId="470E3699" w14:textId="77777777" w:rsidR="007C1680" w:rsidRDefault="007C1680" w:rsidP="007C1680">
      <w:pPr>
        <w:pStyle w:val="NoSpacing"/>
        <w:jc w:val="both"/>
        <w:rPr>
          <w:rFonts w:cs="Calibri"/>
          <w:b/>
          <w:bCs/>
          <w:lang w:val="en-GB"/>
        </w:rPr>
      </w:pPr>
    </w:p>
    <w:p w14:paraId="075164AD" w14:textId="77777777" w:rsidR="007C1680" w:rsidRDefault="007C1680" w:rsidP="007C1680">
      <w:pPr>
        <w:pStyle w:val="NoSpacing"/>
        <w:jc w:val="both"/>
        <w:rPr>
          <w:rFonts w:cs="Calibri"/>
          <w:b/>
          <w:bCs/>
          <w:lang w:val="en-GB"/>
        </w:rPr>
      </w:pPr>
    </w:p>
    <w:p w14:paraId="588FF333" w14:textId="77777777" w:rsidR="007C1680" w:rsidRDefault="007C1680" w:rsidP="007C1680">
      <w:pPr>
        <w:pStyle w:val="NoSpacing"/>
        <w:jc w:val="both"/>
        <w:rPr>
          <w:rFonts w:cs="Calibri"/>
          <w:b/>
          <w:bCs/>
          <w:lang w:val="en-GB"/>
        </w:rPr>
      </w:pPr>
    </w:p>
    <w:p w14:paraId="2571C7C4" w14:textId="77777777" w:rsidR="007C1680" w:rsidRDefault="007C1680" w:rsidP="007C1680">
      <w:pPr>
        <w:pStyle w:val="NoSpacing"/>
        <w:jc w:val="both"/>
        <w:rPr>
          <w:rFonts w:cs="Calibri"/>
          <w:b/>
          <w:bCs/>
          <w:lang w:val="en-GB"/>
        </w:rPr>
      </w:pPr>
    </w:p>
    <w:p w14:paraId="190974AF" w14:textId="77777777" w:rsidR="007C1680" w:rsidRDefault="007C1680" w:rsidP="007C1680">
      <w:pPr>
        <w:pStyle w:val="NoSpacing"/>
        <w:jc w:val="both"/>
        <w:rPr>
          <w:rFonts w:cs="Calibri"/>
          <w:b/>
          <w:bCs/>
          <w:lang w:val="en-GB"/>
        </w:rPr>
      </w:pPr>
    </w:p>
    <w:p w14:paraId="1ACE262F" w14:textId="77777777" w:rsidR="007C1680" w:rsidRDefault="007C1680" w:rsidP="007C1680">
      <w:pPr>
        <w:pStyle w:val="NoSpacing"/>
        <w:jc w:val="both"/>
        <w:rPr>
          <w:rFonts w:cs="Calibri"/>
          <w:b/>
          <w:bCs/>
          <w:lang w:val="en-GB"/>
        </w:rPr>
      </w:pPr>
    </w:p>
    <w:p w14:paraId="719B8CEC" w14:textId="77777777" w:rsidR="007C1680" w:rsidRDefault="007C1680" w:rsidP="007C1680">
      <w:pPr>
        <w:pStyle w:val="NoSpacing"/>
        <w:jc w:val="both"/>
        <w:rPr>
          <w:rFonts w:cs="Calibri"/>
          <w:b/>
          <w:bCs/>
          <w:lang w:val="en-GB"/>
        </w:rPr>
      </w:pPr>
    </w:p>
    <w:p w14:paraId="777A2E3F" w14:textId="77777777" w:rsidR="007C1680" w:rsidRDefault="007C1680" w:rsidP="007C1680">
      <w:pPr>
        <w:pStyle w:val="NoSpacing"/>
        <w:jc w:val="both"/>
        <w:rPr>
          <w:rFonts w:cs="Calibri"/>
          <w:b/>
          <w:bCs/>
          <w:lang w:val="en-GB"/>
        </w:rPr>
      </w:pPr>
    </w:p>
    <w:p w14:paraId="254D121C" w14:textId="77777777" w:rsidR="007C1680" w:rsidRDefault="007C1680" w:rsidP="007C1680">
      <w:pPr>
        <w:pStyle w:val="NoSpacing"/>
        <w:jc w:val="both"/>
        <w:rPr>
          <w:rFonts w:cs="Calibri"/>
          <w:b/>
          <w:bCs/>
          <w:lang w:val="en-GB"/>
        </w:rPr>
      </w:pPr>
    </w:p>
    <w:p w14:paraId="18BC9351" w14:textId="77777777" w:rsidR="007C1680" w:rsidRDefault="007C1680" w:rsidP="007C1680">
      <w:pPr>
        <w:pStyle w:val="NoSpacing"/>
        <w:jc w:val="both"/>
        <w:rPr>
          <w:rFonts w:cs="Calibri"/>
          <w:b/>
          <w:bCs/>
          <w:lang w:val="en-GB"/>
        </w:rPr>
      </w:pPr>
    </w:p>
    <w:p w14:paraId="156C476C" w14:textId="77777777" w:rsidR="007C1680" w:rsidRDefault="007C1680" w:rsidP="007C1680">
      <w:pPr>
        <w:pStyle w:val="NoSpacing"/>
        <w:jc w:val="both"/>
        <w:rPr>
          <w:rFonts w:cs="Calibri"/>
          <w:b/>
          <w:bCs/>
          <w:lang w:val="en-GB"/>
        </w:rPr>
      </w:pPr>
    </w:p>
    <w:p w14:paraId="75FCA82A" w14:textId="77777777" w:rsidR="007C1680" w:rsidRDefault="007C1680" w:rsidP="007C1680">
      <w:pPr>
        <w:pStyle w:val="NoSpacing"/>
        <w:jc w:val="both"/>
        <w:rPr>
          <w:rFonts w:cs="Calibri"/>
          <w:b/>
          <w:bCs/>
          <w:lang w:val="en-GB"/>
        </w:rPr>
      </w:pPr>
    </w:p>
    <w:p w14:paraId="78CC3A5B" w14:textId="77777777" w:rsidR="007C1680" w:rsidRDefault="007C1680" w:rsidP="007C1680">
      <w:pPr>
        <w:pStyle w:val="NoSpacing"/>
        <w:jc w:val="both"/>
        <w:rPr>
          <w:rFonts w:cs="Calibri"/>
          <w:b/>
          <w:bCs/>
          <w:lang w:val="en-GB"/>
        </w:rPr>
      </w:pPr>
    </w:p>
    <w:p w14:paraId="4DE7B2DD" w14:textId="77777777" w:rsidR="007C1680" w:rsidRDefault="007C1680" w:rsidP="007C1680">
      <w:pPr>
        <w:pStyle w:val="NoSpacing"/>
        <w:jc w:val="both"/>
        <w:rPr>
          <w:rFonts w:cs="Calibri"/>
          <w:b/>
          <w:bCs/>
          <w:lang w:val="en-GB"/>
        </w:rPr>
      </w:pPr>
    </w:p>
    <w:p w14:paraId="4CC5A139" w14:textId="77777777" w:rsidR="007C1680" w:rsidRDefault="007C1680" w:rsidP="007C1680">
      <w:pPr>
        <w:pStyle w:val="NoSpacing"/>
        <w:jc w:val="both"/>
        <w:rPr>
          <w:rFonts w:cs="Calibri"/>
          <w:b/>
          <w:bCs/>
          <w:lang w:val="en-GB"/>
        </w:rPr>
      </w:pPr>
    </w:p>
    <w:p w14:paraId="54C6F8D9" w14:textId="77777777" w:rsidR="007C1680" w:rsidRDefault="007C1680" w:rsidP="007C1680">
      <w:pPr>
        <w:pStyle w:val="NoSpacing"/>
        <w:jc w:val="both"/>
        <w:rPr>
          <w:rFonts w:cs="Calibri"/>
          <w:b/>
          <w:bCs/>
          <w:lang w:val="en-GB"/>
        </w:rPr>
      </w:pPr>
    </w:p>
    <w:p w14:paraId="7045814F" w14:textId="77777777" w:rsidR="007C1680" w:rsidRDefault="007C1680" w:rsidP="007C1680">
      <w:pPr>
        <w:pStyle w:val="NoSpacing"/>
        <w:jc w:val="both"/>
        <w:rPr>
          <w:rFonts w:cs="Calibri"/>
          <w:b/>
          <w:bCs/>
          <w:lang w:val="en-GB"/>
        </w:rPr>
      </w:pPr>
    </w:p>
    <w:p w14:paraId="357EA3CB" w14:textId="77777777" w:rsidR="007C1680" w:rsidRDefault="007C1680" w:rsidP="007C1680">
      <w:pPr>
        <w:pStyle w:val="NoSpacing"/>
        <w:jc w:val="both"/>
        <w:rPr>
          <w:rFonts w:cs="Calibri"/>
          <w:b/>
          <w:bCs/>
          <w:lang w:val="en-GB"/>
        </w:rPr>
      </w:pPr>
    </w:p>
    <w:p w14:paraId="565E7265" w14:textId="77777777" w:rsidR="007C1680" w:rsidRDefault="007C1680" w:rsidP="007C1680">
      <w:pPr>
        <w:pStyle w:val="NoSpacing"/>
        <w:jc w:val="both"/>
        <w:rPr>
          <w:rFonts w:cs="Calibri"/>
          <w:b/>
          <w:bCs/>
          <w:lang w:val="en-GB"/>
        </w:rPr>
      </w:pPr>
    </w:p>
    <w:p w14:paraId="005769C2" w14:textId="77777777" w:rsidR="007C1680" w:rsidRDefault="007C1680" w:rsidP="007C1680">
      <w:pPr>
        <w:pStyle w:val="NoSpacing"/>
        <w:jc w:val="both"/>
        <w:rPr>
          <w:rFonts w:cs="Calibri"/>
          <w:b/>
          <w:bCs/>
          <w:lang w:val="en-GB"/>
        </w:rPr>
      </w:pPr>
    </w:p>
    <w:p w14:paraId="3480DB85" w14:textId="77777777" w:rsidR="007C1680" w:rsidRDefault="007C1680" w:rsidP="007C1680">
      <w:pPr>
        <w:pStyle w:val="NoSpacing"/>
        <w:jc w:val="both"/>
        <w:rPr>
          <w:rFonts w:cs="Calibri"/>
          <w:b/>
          <w:bCs/>
          <w:lang w:val="en-GB"/>
        </w:rPr>
      </w:pPr>
    </w:p>
    <w:p w14:paraId="4E723EF4" w14:textId="77777777" w:rsidR="007C1680" w:rsidRDefault="007C1680" w:rsidP="007C1680">
      <w:pPr>
        <w:pStyle w:val="NoSpacing"/>
        <w:jc w:val="both"/>
        <w:rPr>
          <w:rFonts w:cs="Calibri"/>
          <w:b/>
          <w:bCs/>
          <w:lang w:val="en-GB"/>
        </w:rPr>
      </w:pPr>
    </w:p>
    <w:p w14:paraId="0FE6035D" w14:textId="77777777" w:rsidR="007C1680" w:rsidRDefault="007C1680" w:rsidP="007C1680">
      <w:pPr>
        <w:pStyle w:val="NoSpacing"/>
        <w:jc w:val="both"/>
        <w:rPr>
          <w:rFonts w:cs="Calibri"/>
          <w:b/>
          <w:bCs/>
          <w:lang w:val="en-GB"/>
        </w:rPr>
      </w:pPr>
    </w:p>
    <w:p w14:paraId="061BCFC5" w14:textId="77777777" w:rsidR="007C1680" w:rsidRDefault="007C1680" w:rsidP="007C1680">
      <w:pPr>
        <w:pStyle w:val="NoSpacing"/>
        <w:jc w:val="both"/>
        <w:rPr>
          <w:rFonts w:cs="Calibri"/>
          <w:b/>
          <w:bCs/>
          <w:lang w:val="en-GB"/>
        </w:rPr>
      </w:pPr>
    </w:p>
    <w:p w14:paraId="73FE68E4" w14:textId="77777777" w:rsidR="007C1680" w:rsidRDefault="007C1680" w:rsidP="007C1680">
      <w:pPr>
        <w:pStyle w:val="NoSpacing"/>
        <w:jc w:val="both"/>
        <w:rPr>
          <w:rFonts w:cs="Calibri"/>
          <w:b/>
          <w:bCs/>
          <w:lang w:val="en-GB"/>
        </w:rPr>
      </w:pPr>
    </w:p>
    <w:p w14:paraId="020AF91B" w14:textId="77777777" w:rsidR="007C1680" w:rsidRDefault="007C1680" w:rsidP="007C1680">
      <w:pPr>
        <w:pStyle w:val="NoSpacing"/>
        <w:jc w:val="both"/>
        <w:rPr>
          <w:rFonts w:cs="Calibri"/>
          <w:b/>
          <w:bCs/>
          <w:lang w:val="en-GB"/>
        </w:rPr>
      </w:pPr>
    </w:p>
    <w:p w14:paraId="7A032119" w14:textId="77777777" w:rsidR="007C1680" w:rsidRDefault="007C1680" w:rsidP="007C1680">
      <w:pPr>
        <w:pStyle w:val="NoSpacing"/>
        <w:jc w:val="both"/>
        <w:rPr>
          <w:rFonts w:cs="Calibri"/>
          <w:b/>
          <w:bCs/>
          <w:lang w:val="en-GB"/>
        </w:rPr>
      </w:pPr>
    </w:p>
    <w:p w14:paraId="6519C74D" w14:textId="77777777" w:rsidR="007C1680" w:rsidRDefault="007C1680" w:rsidP="007C1680">
      <w:pPr>
        <w:pStyle w:val="NoSpacing"/>
        <w:jc w:val="both"/>
        <w:rPr>
          <w:rFonts w:cs="Calibri"/>
          <w:b/>
          <w:bCs/>
          <w:lang w:val="en-GB"/>
        </w:rPr>
      </w:pPr>
    </w:p>
    <w:p w14:paraId="28FFB21C" w14:textId="77777777" w:rsidR="007C1680" w:rsidRDefault="007C1680" w:rsidP="007C1680">
      <w:pPr>
        <w:pStyle w:val="NoSpacing"/>
        <w:jc w:val="both"/>
        <w:rPr>
          <w:rFonts w:cs="Calibri"/>
          <w:b/>
          <w:bCs/>
          <w:lang w:val="en-GB"/>
        </w:rPr>
      </w:pPr>
    </w:p>
    <w:p w14:paraId="7460AD8B" w14:textId="77777777" w:rsidR="007C1680" w:rsidRPr="007C1680" w:rsidRDefault="007C1680" w:rsidP="007C1680">
      <w:pPr>
        <w:pStyle w:val="NoSpacing"/>
        <w:jc w:val="both"/>
        <w:rPr>
          <w:rFonts w:cs="Calibri"/>
          <w:b/>
          <w:bCs/>
          <w:lang w:val="en-GB"/>
        </w:rPr>
      </w:pPr>
      <w:r w:rsidRPr="007C1680">
        <w:rPr>
          <w:rFonts w:cs="Calibri"/>
          <w:b/>
          <w:bCs/>
          <w:lang w:val="en-GB"/>
        </w:rPr>
        <w:t xml:space="preserve">About the Company </w:t>
      </w:r>
    </w:p>
    <w:p w14:paraId="3BEE9160" w14:textId="77777777" w:rsidR="007C1680" w:rsidRPr="007C1680" w:rsidRDefault="007C1680" w:rsidP="007C1680">
      <w:pPr>
        <w:pStyle w:val="NoSpacing"/>
        <w:jc w:val="both"/>
        <w:rPr>
          <w:rFonts w:cs="Calibri"/>
          <w:bCs/>
          <w:lang w:val="en-GB"/>
        </w:rPr>
      </w:pPr>
    </w:p>
    <w:p w14:paraId="4A4BEEA9" w14:textId="77777777" w:rsidR="007C1680" w:rsidRPr="007C1680" w:rsidRDefault="007C1680" w:rsidP="007C1680">
      <w:pPr>
        <w:pStyle w:val="NoSpacing"/>
        <w:jc w:val="both"/>
        <w:rPr>
          <w:rFonts w:cs="Calibri"/>
          <w:bCs/>
          <w:lang w:val="en-GB"/>
        </w:rPr>
      </w:pPr>
      <w:r w:rsidRPr="007C1680">
        <w:rPr>
          <w:rFonts w:cs="Calibri"/>
          <w:bCs/>
          <w:lang w:val="en-GB"/>
        </w:rPr>
        <w:t xml:space="preserve">Performance Shipping Inc. is a global provider of shipping transportation services through its ownership of Aframax tankers. The Company's current fleet is employed primarily in the spot market, and in some cases, on short to medium-term time charters, with leading energy companies and traders. </w:t>
      </w:r>
    </w:p>
    <w:p w14:paraId="5E0F9A9E" w14:textId="77777777" w:rsidR="007C1680" w:rsidRPr="007C1680" w:rsidRDefault="007C1680" w:rsidP="007C1680">
      <w:pPr>
        <w:pStyle w:val="NoSpacing"/>
        <w:jc w:val="both"/>
        <w:rPr>
          <w:rFonts w:cs="Calibri"/>
          <w:bCs/>
          <w:lang w:val="en-GB"/>
        </w:rPr>
      </w:pPr>
    </w:p>
    <w:p w14:paraId="17AB7558" w14:textId="77777777" w:rsidR="007C1680" w:rsidRPr="007C1680" w:rsidRDefault="007C1680" w:rsidP="007C1680">
      <w:pPr>
        <w:pStyle w:val="NoSpacing"/>
        <w:jc w:val="both"/>
        <w:rPr>
          <w:rFonts w:cs="Calibri"/>
          <w:b/>
          <w:bCs/>
          <w:lang w:val="en-GB"/>
        </w:rPr>
      </w:pPr>
      <w:r w:rsidRPr="007C1680">
        <w:rPr>
          <w:rFonts w:cs="Calibri"/>
          <w:b/>
          <w:bCs/>
          <w:lang w:val="en-GB"/>
        </w:rPr>
        <w:t xml:space="preserve">Cautionary Statement Regarding Forward-Looking Statements </w:t>
      </w:r>
    </w:p>
    <w:p w14:paraId="27C1718F" w14:textId="77777777" w:rsidR="007C1680" w:rsidRPr="007C1680" w:rsidRDefault="007C1680" w:rsidP="007C1680">
      <w:pPr>
        <w:pStyle w:val="NoSpacing"/>
        <w:jc w:val="both"/>
        <w:rPr>
          <w:rFonts w:cs="Calibri"/>
          <w:bCs/>
          <w:lang w:val="en-GB"/>
        </w:rPr>
      </w:pPr>
    </w:p>
    <w:p w14:paraId="432E4474" w14:textId="77777777" w:rsidR="007C1680" w:rsidRPr="007C1680" w:rsidRDefault="007C1680" w:rsidP="007C1680">
      <w:pPr>
        <w:pStyle w:val="NoSpacing"/>
        <w:jc w:val="both"/>
        <w:rPr>
          <w:rFonts w:cs="Calibri"/>
          <w:bCs/>
          <w:lang w:val="en-GB"/>
        </w:rPr>
      </w:pPr>
      <w:r w:rsidRPr="007C1680">
        <w:rPr>
          <w:rFonts w:cs="Calibri"/>
          <w:bCs/>
          <w:lang w:val="en-GB"/>
        </w:rPr>
        <w:t xml:space="preserve">Matters discussed in this press release may constitute forward-looking statements. The Private Securities Litigation Reform Act of 1995 provides safe </w:t>
      </w:r>
      <w:proofErr w:type="spellStart"/>
      <w:r w:rsidRPr="007C1680">
        <w:rPr>
          <w:rFonts w:cs="Calibri"/>
          <w:bCs/>
          <w:lang w:val="en-GB"/>
        </w:rPr>
        <w:t>harbor</w:t>
      </w:r>
      <w:proofErr w:type="spellEnd"/>
      <w:r w:rsidRPr="007C1680">
        <w:rPr>
          <w:rFonts w:cs="Calibri"/>
          <w:bCs/>
          <w:lang w:val="en-GB"/>
        </w:rPr>
        <w:t xml:space="preserve"> protections for forward-looking statements in order to encourage companies to provide prospective information about their business. Forward-looking statements include, but are  not limited to, statements concerning plans, objectives, goals, strategies, future events or performance, and underlying assumptions and other statements, which are other than statements of historical facts.</w:t>
      </w:r>
    </w:p>
    <w:p w14:paraId="6104F73F" w14:textId="77777777" w:rsidR="007C1680" w:rsidRPr="007C1680" w:rsidRDefault="007C1680" w:rsidP="007C1680">
      <w:pPr>
        <w:pStyle w:val="NoSpacing"/>
        <w:jc w:val="both"/>
        <w:rPr>
          <w:rFonts w:cs="Calibri"/>
          <w:bCs/>
          <w:lang w:val="en-GB"/>
        </w:rPr>
      </w:pPr>
    </w:p>
    <w:p w14:paraId="168E1550" w14:textId="77777777" w:rsidR="007C1680" w:rsidRPr="007C1680" w:rsidRDefault="007C1680" w:rsidP="007C1680">
      <w:pPr>
        <w:pStyle w:val="NoSpacing"/>
        <w:jc w:val="both"/>
        <w:rPr>
          <w:rFonts w:cs="Calibri"/>
          <w:bCs/>
          <w:lang w:val="en-GB"/>
        </w:rPr>
      </w:pPr>
      <w:r w:rsidRPr="007C1680">
        <w:rPr>
          <w:rFonts w:cs="Calibri"/>
          <w:bCs/>
          <w:lang w:val="en-GB"/>
        </w:rPr>
        <w:t xml:space="preserve">The Company desires to take advantage of the safe </w:t>
      </w:r>
      <w:proofErr w:type="spellStart"/>
      <w:r w:rsidRPr="007C1680">
        <w:rPr>
          <w:rFonts w:cs="Calibri"/>
          <w:bCs/>
          <w:lang w:val="en-GB"/>
        </w:rPr>
        <w:t>harbor</w:t>
      </w:r>
      <w:proofErr w:type="spellEnd"/>
      <w:r w:rsidRPr="007C1680">
        <w:rPr>
          <w:rFonts w:cs="Calibri"/>
          <w:bCs/>
          <w:lang w:val="en-GB"/>
        </w:rPr>
        <w:t xml:space="preserve"> provisions of the Private Securities Litigation Reform Act of 1995 and is including this cautionary statement in connection with this safe </w:t>
      </w:r>
      <w:proofErr w:type="spellStart"/>
      <w:r w:rsidRPr="007C1680">
        <w:rPr>
          <w:rFonts w:cs="Calibri"/>
          <w:bCs/>
          <w:lang w:val="en-GB"/>
        </w:rPr>
        <w:t>harbor</w:t>
      </w:r>
      <w:proofErr w:type="spellEnd"/>
      <w:r w:rsidRPr="007C1680">
        <w:rPr>
          <w:rFonts w:cs="Calibri"/>
          <w:bCs/>
          <w:lang w:val="en-GB"/>
        </w:rPr>
        <w:t xml:space="preserve"> legislation. The words "believe," "anticipate," "intends," "estimate," "forecast," "project," "plan," "potential," "may," "should," "expect," "pending," and similar expressions, terms or phrases may identify forward-looking statements.</w:t>
      </w:r>
    </w:p>
    <w:p w14:paraId="63D46757" w14:textId="77777777" w:rsidR="007C1680" w:rsidRPr="007C1680" w:rsidRDefault="007C1680" w:rsidP="007C1680">
      <w:pPr>
        <w:pStyle w:val="NoSpacing"/>
        <w:jc w:val="both"/>
        <w:rPr>
          <w:rFonts w:cs="Calibri"/>
          <w:bCs/>
          <w:lang w:val="en-GB"/>
        </w:rPr>
      </w:pPr>
    </w:p>
    <w:p w14:paraId="668D672B" w14:textId="77777777" w:rsidR="007C1680" w:rsidRPr="007C1680" w:rsidRDefault="007C1680" w:rsidP="007C1680">
      <w:pPr>
        <w:pStyle w:val="NoSpacing"/>
        <w:jc w:val="both"/>
        <w:rPr>
          <w:rFonts w:cs="Calibri"/>
          <w:bCs/>
          <w:lang w:val="en-GB"/>
        </w:rPr>
      </w:pPr>
      <w:r w:rsidRPr="007C1680">
        <w:rPr>
          <w:rFonts w:cs="Calibri"/>
          <w:bCs/>
          <w:lang w:val="en-GB"/>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59BBD268" w14:textId="77777777" w:rsidR="007C1680" w:rsidRPr="007C1680" w:rsidRDefault="007C1680" w:rsidP="007C1680">
      <w:pPr>
        <w:pStyle w:val="NoSpacing"/>
        <w:jc w:val="both"/>
        <w:rPr>
          <w:rFonts w:cs="Calibri"/>
          <w:bCs/>
          <w:lang w:val="en-GB"/>
        </w:rPr>
      </w:pPr>
    </w:p>
    <w:p w14:paraId="1583CE4E" w14:textId="77777777" w:rsidR="00E904A6" w:rsidRPr="007C1680" w:rsidRDefault="007C1680" w:rsidP="007C1680">
      <w:pPr>
        <w:pStyle w:val="NoSpacing"/>
        <w:jc w:val="both"/>
        <w:rPr>
          <w:rFonts w:cs="Calibri"/>
          <w:bCs/>
          <w:lang w:val="en-GB"/>
        </w:rPr>
      </w:pPr>
      <w:r w:rsidRPr="007C1680">
        <w:rPr>
          <w:rFonts w:cs="Calibri"/>
          <w:bCs/>
          <w:lang w:val="en-GB"/>
        </w:rPr>
        <w:t xml:space="preserve">In addition to these important factors, other important factors that, in our view, could cause actual results to differ materially from those discussed in the forward-looking statements include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w:t>
      </w:r>
      <w:proofErr w:type="spellStart"/>
      <w:r w:rsidRPr="007C1680">
        <w:rPr>
          <w:rFonts w:cs="Calibri"/>
          <w:bCs/>
          <w:lang w:val="en-GB"/>
        </w:rPr>
        <w:t>labor</w:t>
      </w:r>
      <w:proofErr w:type="spellEnd"/>
      <w:r w:rsidRPr="007C1680">
        <w:rPr>
          <w:rFonts w:cs="Calibri"/>
          <w:bCs/>
          <w:lang w:val="en-GB"/>
        </w:rPr>
        <w:t xml:space="preserve"> disputes or political events, vessel breakdowns and instances of off-hires and other important factors. Please see our filings with the U.S. Securities and Exchange Commission for a more complete discussion of these and other risks and uncertainties.</w:t>
      </w:r>
    </w:p>
    <w:p w14:paraId="7C8E36BC" w14:textId="77777777" w:rsidR="007C1680" w:rsidRDefault="007C1680" w:rsidP="007C1680">
      <w:pPr>
        <w:pStyle w:val="NoSpacing"/>
        <w:jc w:val="both"/>
        <w:rPr>
          <w:rFonts w:cs="Calibri"/>
          <w:lang w:val="en-US"/>
        </w:rPr>
      </w:pPr>
    </w:p>
    <w:p w14:paraId="76D6D789" w14:textId="77777777" w:rsidR="00E904A6" w:rsidRDefault="005C5928" w:rsidP="00E904A6">
      <w:pPr>
        <w:pStyle w:val="NoSpacing"/>
        <w:jc w:val="both"/>
        <w:rPr>
          <w:rFonts w:cs="Calibri"/>
          <w:b/>
          <w:lang w:val="en-US"/>
        </w:rPr>
      </w:pPr>
      <w:r>
        <w:rPr>
          <w:rFonts w:cs="Calibri"/>
          <w:b/>
          <w:lang w:val="en-US"/>
        </w:rPr>
        <w:t>Disclaimer</w:t>
      </w:r>
    </w:p>
    <w:p w14:paraId="2B178BBF" w14:textId="77777777" w:rsidR="00E904A6" w:rsidRDefault="00E904A6" w:rsidP="00E904A6">
      <w:pPr>
        <w:pStyle w:val="NoSpacing"/>
        <w:jc w:val="both"/>
        <w:rPr>
          <w:rFonts w:cs="Calibri"/>
          <w:b/>
          <w:lang w:val="en-US"/>
        </w:rPr>
      </w:pPr>
    </w:p>
    <w:p w14:paraId="4158E44C" w14:textId="77777777" w:rsidR="00E904A6" w:rsidRDefault="005C5928" w:rsidP="00E904A6">
      <w:pPr>
        <w:pStyle w:val="NoSpacing"/>
        <w:jc w:val="both"/>
        <w:rPr>
          <w:rFonts w:cs="Calibri"/>
          <w:lang w:val="en-US"/>
        </w:rPr>
      </w:pPr>
      <w:r>
        <w:rPr>
          <w:rFonts w:cs="Calibri"/>
          <w:lang w:val="en-US"/>
        </w:rPr>
        <w:t>This press release does not constitute an offer to sell or the solicitation of an offer to buy securities and shall not constitute an offer, solicitation or sale in any jurisdiction in which such offer, solicitation or sale is unlawful.</w:t>
      </w:r>
    </w:p>
    <w:p w14:paraId="0A3AFD25" w14:textId="77777777" w:rsidR="00E904A6" w:rsidRPr="00456147" w:rsidRDefault="00E904A6" w:rsidP="000604A9">
      <w:pPr>
        <w:pStyle w:val="BodyText"/>
        <w:tabs>
          <w:tab w:val="left" w:pos="540"/>
        </w:tabs>
        <w:jc w:val="center"/>
        <w:rPr>
          <w:rFonts w:ascii="Calibri" w:eastAsia="Calibri" w:hAnsi="Calibri" w:cs="Calibri"/>
          <w:lang w:val="en-GB"/>
        </w:rPr>
      </w:pPr>
    </w:p>
    <w:p w14:paraId="140E3D80" w14:textId="77777777" w:rsidR="00147676" w:rsidRPr="00456147" w:rsidRDefault="005C5928" w:rsidP="000604A9">
      <w:pPr>
        <w:pStyle w:val="BodyText"/>
        <w:tabs>
          <w:tab w:val="left" w:pos="540"/>
        </w:tabs>
        <w:jc w:val="center"/>
        <w:rPr>
          <w:rFonts w:ascii="Calibri" w:eastAsia="Calibri" w:hAnsi="Calibri" w:cs="Calibri"/>
          <w:lang w:val="en-GB"/>
        </w:rPr>
      </w:pPr>
      <w:r w:rsidRPr="00456147">
        <w:rPr>
          <w:rFonts w:ascii="Calibri" w:eastAsia="Calibri" w:hAnsi="Calibri" w:cs="Calibri"/>
          <w:lang w:val="en-GB"/>
        </w:rPr>
        <w:t>(See financial tables attached)</w:t>
      </w:r>
    </w:p>
    <w:tbl>
      <w:tblPr>
        <w:tblStyle w:val="CDMRange1"/>
        <w:tblW w:w="10965" w:type="dxa"/>
        <w:tblLayout w:type="fixed"/>
        <w:tblLook w:val="0600" w:firstRow="0" w:lastRow="0" w:firstColumn="0" w:lastColumn="0" w:noHBand="1" w:noVBand="1"/>
      </w:tblPr>
      <w:tblGrid>
        <w:gridCol w:w="195"/>
        <w:gridCol w:w="4470"/>
        <w:gridCol w:w="180"/>
        <w:gridCol w:w="1395"/>
        <w:gridCol w:w="180"/>
        <w:gridCol w:w="1395"/>
        <w:gridCol w:w="180"/>
        <w:gridCol w:w="1395"/>
        <w:gridCol w:w="180"/>
        <w:gridCol w:w="1395"/>
      </w:tblGrid>
      <w:tr w:rsidR="00DE5637" w14:paraId="76F683E5" w14:textId="77777777">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015A0ECD" w14:textId="77777777" w:rsidR="00DE5637" w:rsidRDefault="005C5928">
            <w:pPr>
              <w:pageBreakBefore/>
              <w:spacing w:after="0" w:line="240" w:lineRule="auto"/>
              <w:jc w:val="center"/>
              <w:rPr>
                <w:rFonts w:ascii="Calibri" w:eastAsia="Calibri" w:hAnsi="Calibri" w:cs="Calibri"/>
                <w:b/>
                <w:color w:val="000000"/>
                <w:sz w:val="20"/>
              </w:rPr>
            </w:pPr>
            <w:r>
              <w:rPr>
                <w:rFonts w:ascii="Calibri" w:eastAsia="Calibri" w:hAnsi="Calibri" w:cs="Calibri"/>
                <w:b/>
                <w:color w:val="000000"/>
                <w:sz w:val="20"/>
              </w:rPr>
              <w:t>PERFORMANCE SHIPPING INC.</w:t>
            </w:r>
          </w:p>
        </w:tc>
      </w:tr>
      <w:tr w:rsidR="00DE5637" w14:paraId="21C4C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6A2ED596" w14:textId="77777777" w:rsidR="00DE5637" w:rsidRDefault="005C5928">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FINANCIAL TABLES</w:t>
            </w:r>
          </w:p>
        </w:tc>
      </w:tr>
      <w:tr w:rsidR="00DE5637" w:rsidRPr="00B762BD" w14:paraId="6375C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15476EB4" w14:textId="77777777" w:rsidR="00DE5637" w:rsidRDefault="005C5928">
            <w:pPr>
              <w:spacing w:after="0" w:line="240" w:lineRule="auto"/>
              <w:jc w:val="center"/>
              <w:rPr>
                <w:rFonts w:ascii="Calibri" w:eastAsia="Calibri" w:hAnsi="Calibri" w:cs="Calibri"/>
                <w:color w:val="000000"/>
                <w:sz w:val="20"/>
                <w:lang w:val="en-US"/>
              </w:rPr>
            </w:pPr>
            <w:r w:rsidRPr="00E863AD">
              <w:rPr>
                <w:rFonts w:ascii="Calibri" w:eastAsia="Calibri" w:hAnsi="Calibri" w:cs="Calibri"/>
                <w:color w:val="000000"/>
                <w:sz w:val="20"/>
                <w:lang w:val="en-US"/>
              </w:rPr>
              <w:t>Expressed in thousands of U.S. Dollars, except for share and per share data</w:t>
            </w:r>
          </w:p>
          <w:p w14:paraId="706EBDD7" w14:textId="77777777" w:rsidR="005C44B1" w:rsidRPr="00E863AD" w:rsidRDefault="005C44B1">
            <w:pPr>
              <w:spacing w:after="0" w:line="240" w:lineRule="auto"/>
              <w:jc w:val="center"/>
              <w:rPr>
                <w:rFonts w:ascii="Calibri" w:eastAsia="Calibri" w:hAnsi="Calibri" w:cs="Calibri"/>
                <w:color w:val="000000"/>
                <w:sz w:val="20"/>
                <w:lang w:val="en-US"/>
              </w:rPr>
            </w:pPr>
          </w:p>
        </w:tc>
      </w:tr>
      <w:tr w:rsidR="00DE5637" w:rsidRPr="00B762BD" w14:paraId="1415D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37973BD1" w14:textId="77777777" w:rsidR="00DE5637" w:rsidRDefault="005C5928">
            <w:pPr>
              <w:spacing w:after="0" w:line="240" w:lineRule="auto"/>
              <w:jc w:val="center"/>
              <w:rPr>
                <w:rFonts w:ascii="Calibri" w:eastAsia="Calibri" w:hAnsi="Calibri" w:cs="Calibri"/>
                <w:b/>
                <w:color w:val="000000"/>
                <w:sz w:val="20"/>
                <w:lang w:val="en-US"/>
              </w:rPr>
            </w:pPr>
            <w:r w:rsidRPr="00E863AD">
              <w:rPr>
                <w:rFonts w:ascii="Calibri" w:eastAsia="Calibri" w:hAnsi="Calibri" w:cs="Calibri"/>
                <w:b/>
                <w:color w:val="000000"/>
                <w:sz w:val="20"/>
                <w:lang w:val="en-US"/>
              </w:rPr>
              <w:t>CONSOLIDATED STATEMENTS OF OPERATIONS (CONTINUING AND DISCONTINUED OPERATIONS)</w:t>
            </w:r>
          </w:p>
          <w:p w14:paraId="3FDEA2EF" w14:textId="77777777" w:rsidR="002522ED" w:rsidRDefault="002522ED">
            <w:pPr>
              <w:spacing w:after="0" w:line="240" w:lineRule="auto"/>
              <w:jc w:val="center"/>
              <w:rPr>
                <w:rFonts w:ascii="Calibri" w:eastAsia="Calibri" w:hAnsi="Calibri" w:cs="Calibri"/>
                <w:b/>
                <w:color w:val="000000"/>
                <w:sz w:val="20"/>
                <w:lang w:val="en-US"/>
              </w:rPr>
            </w:pPr>
          </w:p>
          <w:p w14:paraId="5B1D74C7" w14:textId="77777777" w:rsidR="002522ED" w:rsidRPr="00E863AD" w:rsidRDefault="002522ED">
            <w:pPr>
              <w:spacing w:after="0" w:line="240" w:lineRule="auto"/>
              <w:jc w:val="center"/>
              <w:rPr>
                <w:rFonts w:ascii="Calibri" w:eastAsia="Calibri" w:hAnsi="Calibri" w:cs="Calibri"/>
                <w:b/>
                <w:color w:val="000000"/>
                <w:sz w:val="20"/>
                <w:lang w:val="en-US"/>
              </w:rPr>
            </w:pPr>
          </w:p>
        </w:tc>
      </w:tr>
      <w:tr w:rsidR="00DE5637" w:rsidRPr="00B762BD" w14:paraId="2BB65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5798788"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25137EF"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DBA943"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45F93639"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4A1FC1B" w14:textId="77777777" w:rsidR="00DE5637" w:rsidRPr="00E863AD" w:rsidRDefault="00DE5637">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555151A7"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years ended December 31,</w:t>
            </w:r>
          </w:p>
        </w:tc>
      </w:tr>
      <w:tr w:rsidR="00DE5637" w14:paraId="38866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D15B6E6"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5165D44"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604A6AA"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B7A7AA2"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BF7F81"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18B4BDC"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7EA0226"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6153BA"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D6044C"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C6FCFDF"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DE5637" w14:paraId="07629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170496A6"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REVENUES: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6142710" w14:textId="77777777" w:rsidR="00DE5637" w:rsidRDefault="00DE5637">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E2B5299"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F0CA3DB"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2F6CE2A"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5017A6" w14:textId="77777777" w:rsidR="00DE5637" w:rsidRDefault="00DE5637">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8A7EE7A"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D74C0D8"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1713E1" w14:textId="77777777" w:rsidR="00DE5637" w:rsidRDefault="00DE5637">
            <w:pPr>
              <w:spacing w:after="0" w:line="240" w:lineRule="auto"/>
              <w:jc w:val="center"/>
              <w:rPr>
                <w:rFonts w:ascii="Calibri" w:eastAsia="Calibri" w:hAnsi="Calibri" w:cs="Calibri"/>
                <w:color w:val="000000"/>
                <w:sz w:val="18"/>
              </w:rPr>
            </w:pPr>
          </w:p>
        </w:tc>
      </w:tr>
      <w:tr w:rsidR="00DE5637" w14:paraId="32965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B590DAA"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26E17C3"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49267F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FAC07B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7,205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5B0B0C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67B809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10,580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B00EBB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D5F6A3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46,283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07A128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624888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26,846</w:t>
            </w:r>
          </w:p>
        </w:tc>
      </w:tr>
      <w:tr w:rsidR="00DE5637" w14:paraId="453C9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C767E81"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8E004BC"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229363"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A7D16CD"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E0AE83"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5938A9E"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8399DA0"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560CEE0"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ED59B7"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597A25D" w14:textId="77777777" w:rsidR="00DE5637" w:rsidRDefault="00DE5637">
            <w:pPr>
              <w:spacing w:after="0" w:line="240" w:lineRule="auto"/>
              <w:rPr>
                <w:rFonts w:ascii="Calibri" w:eastAsia="Calibri" w:hAnsi="Calibri" w:cs="Calibri"/>
                <w:color w:val="000000"/>
                <w:sz w:val="20"/>
              </w:rPr>
            </w:pPr>
          </w:p>
        </w:tc>
      </w:tr>
      <w:tr w:rsidR="00DE5637" w14:paraId="6C77D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4191EBFB"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616C744"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02E72F55"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A0F891F"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10C61C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30FCEE9"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0817C49"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89ECD6"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04FB24B" w14:textId="77777777" w:rsidR="00DE5637" w:rsidRDefault="00DE5637">
            <w:pPr>
              <w:spacing w:after="0" w:line="240" w:lineRule="auto"/>
              <w:rPr>
                <w:rFonts w:ascii="Calibri" w:eastAsia="Calibri" w:hAnsi="Calibri" w:cs="Calibri"/>
                <w:color w:val="000000"/>
                <w:sz w:val="20"/>
              </w:rPr>
            </w:pPr>
          </w:p>
        </w:tc>
      </w:tr>
      <w:tr w:rsidR="00DE5637" w14:paraId="12E45F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D98483A"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617B68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6C1601C"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390E59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3,311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8C3CBE2"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A717FA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2,083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F3A3E39"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871D86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14,622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882DD4"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D52F74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3,447</w:t>
            </w:r>
          </w:p>
        </w:tc>
      </w:tr>
      <w:tr w:rsidR="00DE5637" w14:paraId="7C1D0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E2787B2"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D8DA942"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EA30A8A"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FD8278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2,412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702B65"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43DAFF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2,605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953EC6"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195FEC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11,544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5D0C9D"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6B9AC8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11,321</w:t>
            </w:r>
          </w:p>
        </w:tc>
      </w:tr>
      <w:tr w:rsidR="00DE5637" w14:paraId="7354D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1450C97"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1009FD9"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Depreciation and amortization of deferred charges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011B02"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575CC2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1,631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324F4DD"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BD2AB2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891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FE0F4E"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C9DE61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5,898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9120DA"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AA627E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3,684</w:t>
            </w:r>
          </w:p>
        </w:tc>
      </w:tr>
      <w:tr w:rsidR="00DE5637" w14:paraId="7B2625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8C9FDCA"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819E48F"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Management fees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6201F0"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EF132A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31CC32"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F73809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190662" w14:textId="77777777" w:rsidR="00DE5637" w:rsidRDefault="00DE5637">
            <w:pPr>
              <w:spacing w:after="0" w:line="240" w:lineRule="auto"/>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416BC3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347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7403371"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5027A9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147</w:t>
            </w:r>
          </w:p>
        </w:tc>
      </w:tr>
      <w:tr w:rsidR="00DE5637" w14:paraId="55C6CD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1874084"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CC2C878"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General and administrative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7916622"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007F0A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1,858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A9243F"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2E040F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2,733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29AA96"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982086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7,985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88E49C"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AB6E6F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8,162</w:t>
            </w:r>
          </w:p>
        </w:tc>
      </w:tr>
      <w:tr w:rsidR="00DE5637" w14:paraId="25BDF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6C84276"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BAA711A"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Impairment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4C1A9D2"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49C99A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C0917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49A23C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13,934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85A778F"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1A977A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D5F0453"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135BDC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31,629</w:t>
            </w:r>
          </w:p>
        </w:tc>
      </w:tr>
      <w:tr w:rsidR="00DE5637" w14:paraId="36F6D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3B1CDD9"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732BA39"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(Gain) / loss on vessels' sale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01F05FB"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1354FE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546B247"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431F61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BB3903"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2886DB5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8997BBC"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32CC10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127</w:t>
            </w:r>
          </w:p>
        </w:tc>
      </w:tr>
      <w:tr w:rsidR="00DE5637" w14:paraId="70E4C5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78260F8"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FCEED87"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Provision for doubtful receivables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07B08F1"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6B12E88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F6F8139"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3BD3D0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DBF14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9C48E5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496172C"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D03ABD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DE5637" w14:paraId="750FA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36F25A7"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A043A95"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Foreign currency (gains) /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482178"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D38F36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CDE852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FA798C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9D52E0"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D813EE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561FF9"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D154BF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w:t>
            </w:r>
          </w:p>
        </w:tc>
      </w:tr>
      <w:tr w:rsidR="00DE5637" w14:paraId="3702B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4A67F33"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26ACC3A"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Operating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6299AE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45291F0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(1,941)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597704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2DBC65B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(11,903)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F96B6E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43F2C5A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5,756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3968C4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5190B1D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(31,664)</w:t>
            </w:r>
          </w:p>
        </w:tc>
      </w:tr>
      <w:tr w:rsidR="00DE5637" w14:paraId="41848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DF26060"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6684A6B"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9FBDB56"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4E1A64BB"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9748C0"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77CEE063"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68332B8"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023DA75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248AC8A"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090FE302" w14:textId="77777777" w:rsidR="00DE5637" w:rsidRDefault="00DE5637">
            <w:pPr>
              <w:spacing w:after="0" w:line="240" w:lineRule="auto"/>
              <w:rPr>
                <w:rFonts w:ascii="Calibri" w:eastAsia="Calibri" w:hAnsi="Calibri" w:cs="Calibri"/>
                <w:color w:val="000000"/>
                <w:sz w:val="20"/>
              </w:rPr>
            </w:pPr>
          </w:p>
        </w:tc>
      </w:tr>
      <w:tr w:rsidR="00DE5637" w14:paraId="5DBB4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1489F8C9"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OTHER INCOME /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19FAAF"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BB2BFDF"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377C5F8"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4F2B3E1"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DEB9115"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129C45F"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5F4003"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3278237" w14:textId="77777777" w:rsidR="00DE5637" w:rsidRDefault="00DE5637">
            <w:pPr>
              <w:spacing w:after="0" w:line="240" w:lineRule="auto"/>
              <w:rPr>
                <w:rFonts w:ascii="Calibri" w:eastAsia="Calibri" w:hAnsi="Calibri" w:cs="Calibri"/>
                <w:color w:val="000000"/>
                <w:sz w:val="20"/>
              </w:rPr>
            </w:pPr>
          </w:p>
        </w:tc>
      </w:tr>
      <w:tr w:rsidR="00DE5637" w14:paraId="12D06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52AC360"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4961F42"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E39D150"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B1FB59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A863F4A"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3B36E72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(398)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4DB062"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73747FC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(2,089)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7580AB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67A07C6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(651)</w:t>
            </w:r>
          </w:p>
        </w:tc>
      </w:tr>
      <w:tr w:rsidR="00DE5637" w14:paraId="4FDD6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F95D735"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26DE5DF"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Interest income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D1858C8"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A12B00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F88976"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EBE4A2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30D081"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CBBC01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C66E9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C8E083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258</w:t>
            </w:r>
          </w:p>
        </w:tc>
      </w:tr>
      <w:tr w:rsidR="00DE5637" w14:paraId="07A921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C0BD18D"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C72F911"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Total other expenses, net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1CA022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0DC076B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(607)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B9641D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3E67966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7022FC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19EFEC3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(1,979)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446BF2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4920BAC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(393)</w:t>
            </w:r>
          </w:p>
        </w:tc>
      </w:tr>
      <w:tr w:rsidR="00DE5637" w14:paraId="4C17D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E707B96"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3C423529"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2FE2F8C"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7C72FCE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5D0B19"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267FAE8D"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58235A"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4F50FC2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0E63071" w14:textId="77777777" w:rsidR="00DE5637" w:rsidRDefault="00DE56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49DD5BCE" w14:textId="77777777" w:rsidR="00DE5637" w:rsidRDefault="00DE5637">
            <w:pPr>
              <w:spacing w:after="0" w:line="240" w:lineRule="auto"/>
              <w:rPr>
                <w:rFonts w:ascii="Calibri" w:eastAsia="Calibri" w:hAnsi="Calibri" w:cs="Calibri"/>
                <w:color w:val="000000"/>
                <w:sz w:val="20"/>
              </w:rPr>
            </w:pPr>
          </w:p>
        </w:tc>
      </w:tr>
      <w:tr w:rsidR="00DE5637" w14:paraId="2592D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49D22CCF"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F0DE06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267D6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4AFB1D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346E17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(12,228)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1449A4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7FE0506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3,777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B79E78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6EB4B50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(32,057)</w:t>
            </w:r>
          </w:p>
        </w:tc>
      </w:tr>
      <w:tr w:rsidR="00DE5637" w14:paraId="531E8A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DC47AF2"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5AD554E"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5AE5E70"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D69C50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B79ACB"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7BA3903"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E29E4B5"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0837CB93"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F897561"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769062C" w14:textId="77777777" w:rsidR="00DE5637" w:rsidRDefault="00DE5637">
            <w:pPr>
              <w:spacing w:after="0" w:line="240" w:lineRule="auto"/>
              <w:rPr>
                <w:rFonts w:ascii="Calibri" w:eastAsia="Calibri" w:hAnsi="Calibri" w:cs="Calibri"/>
                <w:color w:val="000000"/>
                <w:sz w:val="20"/>
              </w:rPr>
            </w:pPr>
          </w:p>
        </w:tc>
      </w:tr>
      <w:tr w:rsidR="00DE5637" w14:paraId="49980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55A498D4"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Gain from repurchase of preferred shares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687DC40"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51957E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4EB5F3"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EA7147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AC9670E"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B83831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1,500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F48DEB4"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9944E9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DE5637" w14:paraId="5E66B0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686BEF7C"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Income allocated to participating securities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FCF4E41"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EF9BDC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DF31F10"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2FB8E7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7963DFC"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49D4A79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2E2AC9"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C2C668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DE5637" w14:paraId="4C1F18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48255DE"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3724E81C"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DE9586F"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BF2612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C8521C7"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A6DB39F"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90BCE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74AC5B4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335F5A8"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81DD91E" w14:textId="77777777" w:rsidR="00DE5637" w:rsidRDefault="00DE5637">
            <w:pPr>
              <w:spacing w:after="0" w:line="240" w:lineRule="auto"/>
              <w:rPr>
                <w:rFonts w:ascii="Calibri" w:eastAsia="Calibri" w:hAnsi="Calibri" w:cs="Calibri"/>
                <w:color w:val="000000"/>
                <w:sz w:val="20"/>
              </w:rPr>
            </w:pPr>
          </w:p>
        </w:tc>
      </w:tr>
      <w:tr w:rsidR="00DE5637" w14:paraId="4CE55D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5FF74230"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BB31C6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11567E8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E3FECD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56D9CA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(12,228)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1F23AF"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4AA8BDD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5,190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872BE8"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AAC3E7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(32,057)</w:t>
            </w:r>
          </w:p>
        </w:tc>
      </w:tr>
      <w:tr w:rsidR="00DE5637" w14:paraId="2D857D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644DF40"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B3548DA"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38D2A5"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CF60317"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4E19301"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CD1346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0D41F3E"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4BF86D5"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A47625" w14:textId="77777777" w:rsidR="00DE5637" w:rsidRDefault="00DE56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A5517F8" w14:textId="77777777" w:rsidR="00DE5637" w:rsidRDefault="00DE5637">
            <w:pPr>
              <w:spacing w:after="0" w:line="240" w:lineRule="auto"/>
              <w:rPr>
                <w:rFonts w:ascii="Calibri" w:eastAsia="Calibri" w:hAnsi="Calibri" w:cs="Calibri"/>
                <w:color w:val="000000"/>
                <w:sz w:val="20"/>
              </w:rPr>
            </w:pPr>
          </w:p>
        </w:tc>
      </w:tr>
      <w:tr w:rsidR="00DE5637" w14:paraId="44661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752F8A87"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Earnings / (Loss) per common share, basic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BE24F3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40683B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8F8ECC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0A0AFE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F89762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0785ACD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E43F69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0057D3D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(11.19)</w:t>
            </w:r>
          </w:p>
        </w:tc>
      </w:tr>
      <w:tr w:rsidR="00DE5637" w14:paraId="726988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CB637BE" w14:textId="77777777" w:rsidR="00DE5637" w:rsidRDefault="00DE5637">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5853849"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2CD0E34"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FA6B7E1"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E92E85"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1AA80DA"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1E118C"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D940658"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C439AF"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CE5AEA3" w14:textId="77777777" w:rsidR="00DE5637" w:rsidRDefault="00DE5637">
            <w:pPr>
              <w:spacing w:after="0" w:line="240" w:lineRule="auto"/>
              <w:jc w:val="right"/>
              <w:rPr>
                <w:rFonts w:ascii="Calibri" w:eastAsia="Calibri" w:hAnsi="Calibri" w:cs="Calibri"/>
                <w:color w:val="000000"/>
                <w:sz w:val="20"/>
              </w:rPr>
            </w:pPr>
          </w:p>
        </w:tc>
      </w:tr>
      <w:tr w:rsidR="00DE5637" w14:paraId="025FA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55ACDFB6"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Earnings / (Loss) per common share, diluted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40F2F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5B10C2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(0.51)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42CD93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795D5A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A32CDE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4A12B78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1.05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B181D0C"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71F2F1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(11.19)</w:t>
            </w:r>
          </w:p>
        </w:tc>
      </w:tr>
      <w:tr w:rsidR="00DE5637" w14:paraId="3AFE24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AEFD91A" w14:textId="77777777" w:rsidR="00DE5637" w:rsidRDefault="00DE5637">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E688F44"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C4D05DD"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1E6A0D0"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7B427E0"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56A8DD2"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3CF9C24"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EA5C54E"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88F0BF7"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02CAD947" w14:textId="77777777" w:rsidR="00DE5637" w:rsidRDefault="00DE5637">
            <w:pPr>
              <w:spacing w:after="0" w:line="240" w:lineRule="auto"/>
              <w:jc w:val="right"/>
              <w:rPr>
                <w:rFonts w:ascii="Calibri" w:eastAsia="Calibri" w:hAnsi="Calibri" w:cs="Calibri"/>
                <w:color w:val="000000"/>
                <w:sz w:val="20"/>
              </w:rPr>
            </w:pPr>
          </w:p>
        </w:tc>
      </w:tr>
      <w:tr w:rsidR="00DE5637" w14:paraId="42B49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42C75252"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Weighted average number of common shares,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3ADE888"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1BE93F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4,966,210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3EDCB8"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01A65A0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3,854,802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D8C0EB"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76DD34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4,875,475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B505E21"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5380F6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2,864,676</w:t>
            </w:r>
          </w:p>
        </w:tc>
      </w:tr>
      <w:tr w:rsidR="00DE5637" w14:paraId="6BA6E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41C5324" w14:textId="77777777" w:rsidR="00DE5637" w:rsidRDefault="00DE5637">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DAE54D5"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3F95787"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F9FC251"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EEE62F5"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A57406D"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04F4CE4"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D45C8FB"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93C0C4A"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FB05B2F" w14:textId="77777777" w:rsidR="00DE5637" w:rsidRDefault="00DE5637">
            <w:pPr>
              <w:spacing w:after="0" w:line="240" w:lineRule="auto"/>
              <w:jc w:val="right"/>
              <w:rPr>
                <w:rFonts w:ascii="Calibri" w:eastAsia="Calibri" w:hAnsi="Calibri" w:cs="Calibri"/>
                <w:color w:val="000000"/>
                <w:sz w:val="20"/>
              </w:rPr>
            </w:pPr>
          </w:p>
        </w:tc>
      </w:tr>
      <w:tr w:rsidR="00DE5637" w14:paraId="28392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7E023406"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Weighted average number of common shares,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592BA59" w14:textId="77777777" w:rsidR="00DE5637" w:rsidRPr="00E863AD" w:rsidRDefault="00DE5637">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5903BF0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4,966,210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C42916"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3691E0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3,854,802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2B13E05"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4A512F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4,945,562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D6778F" w14:textId="77777777" w:rsidR="00DE5637" w:rsidRDefault="00DE56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DB5884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2,864,676</w:t>
            </w:r>
          </w:p>
        </w:tc>
      </w:tr>
      <w:tr w:rsidR="00DE5637" w:rsidRPr="00B762BD" w14:paraId="3E2778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0965" w:type="dxa"/>
            <w:gridSpan w:val="10"/>
            <w:tcBorders>
              <w:top w:val="nil"/>
              <w:left w:val="nil"/>
              <w:bottom w:val="nil"/>
              <w:right w:val="nil"/>
              <w:tl2br w:val="nil"/>
              <w:tr2bl w:val="nil"/>
            </w:tcBorders>
            <w:shd w:val="clear" w:color="auto" w:fill="auto"/>
            <w:tcMar>
              <w:left w:w="40" w:type="dxa"/>
              <w:right w:w="40" w:type="dxa"/>
            </w:tcMar>
            <w:vAlign w:val="bottom"/>
          </w:tcPr>
          <w:p w14:paraId="33B1917F" w14:textId="77777777" w:rsidR="00DE5637" w:rsidRPr="00E863AD" w:rsidRDefault="005C5928">
            <w:pPr>
              <w:spacing w:after="0" w:line="240" w:lineRule="auto"/>
              <w:rPr>
                <w:rFonts w:ascii="Calibri" w:eastAsia="Calibri" w:hAnsi="Calibri" w:cs="Calibri"/>
                <w:color w:val="000000"/>
                <w:sz w:val="18"/>
                <w:lang w:val="en-US"/>
              </w:rPr>
            </w:pPr>
            <w:r w:rsidRPr="00E863AD">
              <w:rPr>
                <w:rFonts w:ascii="Calibri" w:eastAsia="Calibri" w:hAnsi="Calibri" w:cs="Calibri"/>
                <w:color w:val="000000"/>
                <w:sz w:val="18"/>
                <w:lang w:val="en-US"/>
              </w:rPr>
              <w:t>* Comparative figures were adjusted to give effect to the reverse stock split that became effective on November 2, 2020.</w:t>
            </w:r>
          </w:p>
        </w:tc>
      </w:tr>
      <w:tr w:rsidR="00DE5637" w:rsidRPr="00B762BD" w14:paraId="4EE77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0B40C58D" w14:textId="77777777" w:rsidR="00DE5637" w:rsidRPr="00E863AD" w:rsidRDefault="005C5928">
            <w:pPr>
              <w:spacing w:after="0" w:line="240" w:lineRule="auto"/>
              <w:jc w:val="center"/>
              <w:rPr>
                <w:rFonts w:ascii="Calibri" w:eastAsia="Calibri" w:hAnsi="Calibri" w:cs="Calibri"/>
                <w:b/>
                <w:color w:val="000000"/>
                <w:sz w:val="20"/>
                <w:lang w:val="en-US"/>
              </w:rPr>
            </w:pPr>
            <w:r w:rsidRPr="00E863AD">
              <w:rPr>
                <w:rFonts w:ascii="Calibri" w:eastAsia="Calibri" w:hAnsi="Calibri" w:cs="Calibri"/>
                <w:b/>
                <w:color w:val="000000"/>
                <w:sz w:val="20"/>
                <w:lang w:val="en-US"/>
              </w:rPr>
              <w:t>CONSOLIDATED STATEMENTS OF COMPREHENSIVE INCOME / (LOSS)</w:t>
            </w:r>
          </w:p>
        </w:tc>
      </w:tr>
      <w:tr w:rsidR="00DE5637" w:rsidRPr="00B762BD" w14:paraId="73FC8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0ADB940"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3A88D5D"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43FCB5"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F427004"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D00F23"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2E188B5"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1465D2C"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3713D85"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A51FDAB"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67D679B" w14:textId="77777777" w:rsidR="00DE5637" w:rsidRPr="00E863AD" w:rsidRDefault="00DE5637">
            <w:pPr>
              <w:spacing w:after="0" w:line="240" w:lineRule="auto"/>
              <w:jc w:val="center"/>
              <w:rPr>
                <w:rFonts w:ascii="Calibri" w:eastAsia="Calibri" w:hAnsi="Calibri" w:cs="Calibri"/>
                <w:b/>
                <w:color w:val="000000"/>
                <w:sz w:val="20"/>
                <w:lang w:val="en-US"/>
              </w:rPr>
            </w:pPr>
          </w:p>
        </w:tc>
      </w:tr>
      <w:tr w:rsidR="00DE5637" w:rsidRPr="00B762BD" w14:paraId="0ED17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8EE833F"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312DC70D"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3A1C48"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045BD8D7"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29A6C0C" w14:textId="77777777" w:rsidR="00DE5637" w:rsidRPr="00E863AD" w:rsidRDefault="00DE5637">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092FEE31"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years ended December 31,</w:t>
            </w:r>
          </w:p>
        </w:tc>
      </w:tr>
      <w:tr w:rsidR="00DE5637" w14:paraId="1F65E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57BFC6D" w14:textId="77777777" w:rsidR="00DE5637" w:rsidRPr="00E863AD" w:rsidRDefault="00DE5637">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08F9F0A"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0D51A60"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A61A33F"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EC0A7F1"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FF78C5D"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6D08E06"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9E54589"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BA96BF0"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9EC7DB"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DE5637" w14:paraId="66188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312769A"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65CC438"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E05CC0" w14:textId="77777777" w:rsidR="00DE5637" w:rsidRDefault="00DE5637">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D532BBB"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AC19A0C"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03F9487"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231D48A" w14:textId="77777777" w:rsidR="00DE5637" w:rsidRDefault="00DE5637">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CB36F46"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C0B2A9"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92DC41" w14:textId="77777777" w:rsidR="00DE5637" w:rsidRDefault="00DE5637">
            <w:pPr>
              <w:spacing w:after="0" w:line="240" w:lineRule="auto"/>
              <w:jc w:val="center"/>
              <w:rPr>
                <w:rFonts w:ascii="Calibri" w:eastAsia="Calibri" w:hAnsi="Calibri" w:cs="Calibri"/>
                <w:color w:val="000000"/>
                <w:sz w:val="18"/>
              </w:rPr>
            </w:pPr>
          </w:p>
        </w:tc>
      </w:tr>
      <w:tr w:rsidR="00DE5637" w14:paraId="6454E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55388DA8"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59F4D5B"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7B67886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(2,548)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DE8CA48"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76A5178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(12,228)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6847B0C"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3714F8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3,777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D03E10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18DCA93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(32,057)</w:t>
            </w:r>
          </w:p>
        </w:tc>
      </w:tr>
      <w:tr w:rsidR="00DE5637" w14:paraId="46223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2945522A"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Other comprehensive income / (loss) (Actuarial gain/ (loss))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36DD638"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07C00EB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E0068CD"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0C16BC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50429A"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1D17E63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8E77E68"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3E93EF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w:t>
            </w:r>
          </w:p>
        </w:tc>
      </w:tr>
      <w:tr w:rsidR="00DE5637" w14:paraId="7E4C5E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988BE0C"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DEFA90C"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E3537A1"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AA40883"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1E74827"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0C7F3B5"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DD440B"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08812F2"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F4B8331" w14:textId="77777777" w:rsidR="00DE5637" w:rsidRDefault="00DE56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EF4BEE7" w14:textId="77777777" w:rsidR="00DE5637" w:rsidRDefault="00DE5637">
            <w:pPr>
              <w:spacing w:after="0" w:line="240" w:lineRule="auto"/>
              <w:rPr>
                <w:rFonts w:ascii="Calibri" w:eastAsia="Calibri" w:hAnsi="Calibri" w:cs="Calibri"/>
                <w:color w:val="000000"/>
                <w:sz w:val="20"/>
              </w:rPr>
            </w:pPr>
          </w:p>
        </w:tc>
      </w:tr>
      <w:tr w:rsidR="00DE5637" w14:paraId="7116D9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52C163DA"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Comprehensive income/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0208C84"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5BBB9A7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(2,609)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72294E3"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14B69C6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(12,216)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C9A463A"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14:paraId="0584E4C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3,716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648971B"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39D9BC3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(32,045)</w:t>
            </w:r>
          </w:p>
        </w:tc>
      </w:tr>
      <w:tr w:rsidR="00DE5637" w14:paraId="71304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14A6F5AA"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tcMar>
              <w:left w:w="0" w:type="dxa"/>
              <w:right w:w="0" w:type="dxa"/>
            </w:tcMar>
            <w:vAlign w:val="bottom"/>
          </w:tcPr>
          <w:p w14:paraId="642B32E1"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84BBD73"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CAFCB34"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F136F58"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67A35A8F"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D606C1"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DCDD5AF"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C8B5D90"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9912B21" w14:textId="77777777" w:rsidR="00DE5637" w:rsidRDefault="00DE5637">
            <w:pPr>
              <w:spacing w:after="0" w:line="240" w:lineRule="auto"/>
              <w:jc w:val="right"/>
              <w:rPr>
                <w:rFonts w:ascii="Calibri" w:eastAsia="Calibri" w:hAnsi="Calibri" w:cs="Calibri"/>
                <w:color w:val="000000"/>
                <w:sz w:val="20"/>
              </w:rPr>
            </w:pPr>
          </w:p>
        </w:tc>
      </w:tr>
    </w:tbl>
    <w:tbl>
      <w:tblPr>
        <w:tblStyle w:val="CDMRange2"/>
        <w:tblW w:w="10455" w:type="dxa"/>
        <w:tblLayout w:type="fixed"/>
        <w:tblLook w:val="0600" w:firstRow="0" w:lastRow="0" w:firstColumn="0" w:lastColumn="0" w:noHBand="1" w:noVBand="1"/>
      </w:tblPr>
      <w:tblGrid>
        <w:gridCol w:w="195"/>
        <w:gridCol w:w="5760"/>
        <w:gridCol w:w="180"/>
        <w:gridCol w:w="2070"/>
        <w:gridCol w:w="180"/>
        <w:gridCol w:w="2070"/>
      </w:tblGrid>
      <w:tr w:rsidR="00DE5637" w:rsidRPr="00B762BD" w14:paraId="1E488B34" w14:textId="77777777">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6485B1FA" w14:textId="77777777" w:rsidR="00DE5637" w:rsidRPr="00E863AD" w:rsidRDefault="005C5928">
            <w:pPr>
              <w:pageBreakBefore/>
              <w:spacing w:after="0" w:line="240" w:lineRule="auto"/>
              <w:jc w:val="both"/>
              <w:rPr>
                <w:rFonts w:ascii="Calibri" w:eastAsia="Calibri" w:hAnsi="Calibri" w:cs="Calibri"/>
                <w:b/>
                <w:color w:val="000000"/>
                <w:sz w:val="20"/>
                <w:lang w:val="en-US"/>
              </w:rPr>
            </w:pPr>
            <w:r w:rsidRPr="00E863AD">
              <w:rPr>
                <w:rFonts w:ascii="Calibri" w:eastAsia="Calibri" w:hAnsi="Calibri" w:cs="Calibri"/>
                <w:b/>
                <w:color w:val="000000"/>
                <w:sz w:val="20"/>
                <w:lang w:val="en-US"/>
              </w:rPr>
              <w:t>CONDENSED CONSOLIDATED BALANCE SHEET DATA</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809B3D6" w14:textId="77777777" w:rsidR="00DE5637" w:rsidRPr="00E863AD" w:rsidRDefault="00DE5637">
            <w:pPr>
              <w:spacing w:after="0" w:line="240" w:lineRule="auto"/>
              <w:jc w:val="both"/>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274507CA" w14:textId="77777777" w:rsidR="00DE5637" w:rsidRPr="00E863AD" w:rsidRDefault="00DE5637">
            <w:pPr>
              <w:spacing w:after="0" w:line="240" w:lineRule="auto"/>
              <w:jc w:val="both"/>
              <w:rPr>
                <w:rFonts w:ascii="Calibri" w:eastAsia="Calibri" w:hAnsi="Calibri" w:cs="Calibri"/>
                <w:b/>
                <w:color w:val="000000"/>
                <w:sz w:val="20"/>
                <w:lang w:val="en-US"/>
              </w:rPr>
            </w:pPr>
          </w:p>
        </w:tc>
      </w:tr>
      <w:tr w:rsidR="00DE5637" w:rsidRPr="00B762BD" w14:paraId="19A7E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601113EB"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(Expressed in thousands of US Dollars)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A3609E6" w14:textId="77777777" w:rsidR="00DE5637" w:rsidRPr="00E863AD" w:rsidRDefault="00DE5637">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562662C4" w14:textId="77777777" w:rsidR="00DE5637" w:rsidRPr="00E863AD" w:rsidRDefault="00DE5637">
            <w:pPr>
              <w:spacing w:after="0" w:line="240" w:lineRule="auto"/>
              <w:rPr>
                <w:rFonts w:ascii="Calibri" w:eastAsia="Calibri" w:hAnsi="Calibri" w:cs="Calibri"/>
                <w:color w:val="000000"/>
                <w:sz w:val="20"/>
                <w:lang w:val="en-US"/>
              </w:rPr>
            </w:pPr>
          </w:p>
        </w:tc>
      </w:tr>
      <w:tr w:rsidR="00DE5637" w14:paraId="1D4B17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5A013482"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7B4837DD" w14:textId="77777777" w:rsidR="00DE5637" w:rsidRPr="00E863AD" w:rsidRDefault="00DE5637">
            <w:pPr>
              <w:spacing w:after="0" w:line="240" w:lineRule="auto"/>
              <w:jc w:val="center"/>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C9414EB" w14:textId="77777777" w:rsidR="00DE5637" w:rsidRPr="00E863AD" w:rsidRDefault="00DE5637">
            <w:pPr>
              <w:spacing w:after="0" w:line="240" w:lineRule="auto"/>
              <w:jc w:val="center"/>
              <w:rPr>
                <w:rFonts w:ascii="Calibri" w:eastAsia="Calibri" w:hAnsi="Calibri" w:cs="Calibri"/>
                <w:color w:val="000000"/>
                <w:sz w:val="20"/>
                <w:lang w:val="en-US"/>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77F349F8"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December 31, 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B699DB0" w14:textId="77777777" w:rsidR="00DE5637" w:rsidRDefault="00DE5637">
            <w:pPr>
              <w:spacing w:after="0" w:line="240" w:lineRule="auto"/>
              <w:jc w:val="center"/>
              <w:rPr>
                <w:rFonts w:ascii="Calibri" w:eastAsia="Calibri" w:hAnsi="Calibri" w:cs="Calibri"/>
                <w:color w:val="000000"/>
                <w:sz w:val="18"/>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2DD346AD"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December 31, 2019**</w:t>
            </w:r>
          </w:p>
        </w:tc>
      </w:tr>
      <w:tr w:rsidR="00DE5637" w14:paraId="4F8F3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4C7686F" w14:textId="77777777" w:rsidR="00DE5637" w:rsidRDefault="005C5928">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0FE4C08" w14:textId="77777777" w:rsidR="00DE5637" w:rsidRDefault="00DE5637">
            <w:pPr>
              <w:spacing w:after="0" w:line="240" w:lineRule="auto"/>
              <w:jc w:val="center"/>
              <w:rPr>
                <w:rFonts w:ascii="Calibri" w:eastAsia="Calibri" w:hAnsi="Calibri" w:cs="Calibri"/>
                <w:b/>
                <w:color w:val="000000"/>
                <w:sz w:val="20"/>
                <w:u w:val="single"/>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14:paraId="46B7A35A"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E028260" w14:textId="77777777" w:rsidR="00DE5637" w:rsidRDefault="00DE5637">
            <w:pPr>
              <w:spacing w:after="0" w:line="240" w:lineRule="auto"/>
              <w:jc w:val="center"/>
              <w:rPr>
                <w:rFonts w:ascii="Calibri" w:eastAsia="Calibri" w:hAnsi="Calibri" w:cs="Calibri"/>
                <w:b/>
                <w:color w:val="000000"/>
                <w:sz w:val="18"/>
                <w:u w:val="single"/>
              </w:rPr>
            </w:pPr>
          </w:p>
        </w:tc>
        <w:tc>
          <w:tcPr>
            <w:tcW w:w="2070" w:type="dxa"/>
            <w:tcBorders>
              <w:top w:val="single" w:sz="4" w:space="0" w:color="000000"/>
              <w:left w:val="nil"/>
              <w:bottom w:val="nil"/>
              <w:right w:val="nil"/>
              <w:tl2br w:val="nil"/>
              <w:tr2bl w:val="nil"/>
            </w:tcBorders>
            <w:shd w:val="clear" w:color="auto" w:fill="auto"/>
            <w:tcMar>
              <w:left w:w="0" w:type="dxa"/>
              <w:right w:w="0" w:type="dxa"/>
            </w:tcMar>
            <w:vAlign w:val="bottom"/>
          </w:tcPr>
          <w:p w14:paraId="115045B7" w14:textId="77777777" w:rsidR="00DE5637" w:rsidRDefault="00DE5637">
            <w:pPr>
              <w:spacing w:after="0" w:line="240" w:lineRule="auto"/>
              <w:jc w:val="center"/>
              <w:rPr>
                <w:rFonts w:ascii="Calibri" w:eastAsia="Calibri" w:hAnsi="Calibri" w:cs="Calibri"/>
                <w:color w:val="000000"/>
                <w:sz w:val="18"/>
              </w:rPr>
            </w:pPr>
          </w:p>
        </w:tc>
      </w:tr>
      <w:tr w:rsidR="00DE5637" w14:paraId="671BC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434D5910" w14:textId="77777777" w:rsidR="00DE5637" w:rsidRDefault="00DE5637">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95EA092" w14:textId="77777777" w:rsidR="00DE5637" w:rsidRDefault="00DE56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E42A7C8"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2E2B539D" w14:textId="77777777" w:rsidR="00DE5637" w:rsidRDefault="00DE56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F336B1A"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2A09FB6" w14:textId="77777777" w:rsidR="00DE5637" w:rsidRDefault="00DE5637">
            <w:pPr>
              <w:spacing w:after="0" w:line="240" w:lineRule="auto"/>
              <w:jc w:val="both"/>
              <w:rPr>
                <w:rFonts w:ascii="Calibri" w:eastAsia="Calibri" w:hAnsi="Calibri" w:cs="Calibri"/>
                <w:b/>
                <w:color w:val="000000"/>
                <w:sz w:val="20"/>
              </w:rPr>
            </w:pPr>
          </w:p>
        </w:tc>
      </w:tr>
      <w:tr w:rsidR="00DE5637" w14:paraId="6AC83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2F7D951E"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Cash and cash equivalents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FCE65E1"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2C275B9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21,378</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CF20E50"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6D1C1E6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26,363</w:t>
            </w:r>
          </w:p>
        </w:tc>
      </w:tr>
      <w:tr w:rsidR="00DE5637" w14:paraId="7C567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DD0830D" w14:textId="77777777" w:rsidR="00DE5637" w:rsidRPr="00E863AD" w:rsidRDefault="005C5928">
            <w:pPr>
              <w:spacing w:after="0" w:line="240" w:lineRule="auto"/>
              <w:jc w:val="both"/>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 Advances for vessel acquisitions and other vessels' costs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3404A16" w14:textId="77777777" w:rsidR="00DE5637" w:rsidRPr="00E863AD" w:rsidRDefault="00DE5637">
            <w:pPr>
              <w:spacing w:after="0" w:line="240" w:lineRule="auto"/>
              <w:jc w:val="center"/>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346708F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FCF661C"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028D287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11,017</w:t>
            </w:r>
          </w:p>
        </w:tc>
      </w:tr>
      <w:tr w:rsidR="00DE5637" w14:paraId="1A1D0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D250522"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Vessels, net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042A3B9"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078FB6C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128,108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F644145"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3428BE6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82,871</w:t>
            </w:r>
          </w:p>
        </w:tc>
      </w:tr>
      <w:tr w:rsidR="00DE5637" w14:paraId="2326D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70AE0A9"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fixed assets, net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759A729"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356E9BB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1,135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F58DB26"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3EDC43E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993</w:t>
            </w:r>
          </w:p>
        </w:tc>
      </w:tr>
      <w:tr w:rsidR="00DE5637" w14:paraId="3C747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23FA332F"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08A488C"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640DFEB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7,233</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7F1CD36"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625A477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9,325</w:t>
            </w:r>
          </w:p>
        </w:tc>
      </w:tr>
      <w:tr w:rsidR="00DE5637" w14:paraId="4EF03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5B4258CC" w14:textId="77777777" w:rsidR="00DE5637" w:rsidRDefault="00DE56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1B556932" w14:textId="77777777" w:rsidR="00DE5637" w:rsidRDefault="005C5928">
            <w:pPr>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Total assets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6B169E6"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4F386203"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114F58A"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5C1C90E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130,569</w:t>
            </w:r>
          </w:p>
        </w:tc>
      </w:tr>
      <w:tr w:rsidR="00DE5637" w14:paraId="4D4EF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714AC5C9" w14:textId="77777777" w:rsidR="00DE5637" w:rsidRDefault="00DE56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C92A5F5" w14:textId="77777777" w:rsidR="00DE5637" w:rsidRDefault="00DE56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0F57E1A"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64F3539B"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5DB48EF"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2889E625" w14:textId="77777777" w:rsidR="00DE5637" w:rsidRDefault="00DE5637">
            <w:pPr>
              <w:spacing w:after="0" w:line="240" w:lineRule="auto"/>
              <w:jc w:val="both"/>
              <w:rPr>
                <w:rFonts w:ascii="Calibri" w:eastAsia="Calibri" w:hAnsi="Calibri" w:cs="Calibri"/>
                <w:color w:val="000000"/>
                <w:sz w:val="20"/>
              </w:rPr>
            </w:pPr>
          </w:p>
        </w:tc>
      </w:tr>
      <w:tr w:rsidR="00DE5637" w14:paraId="002CA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8EC01EC" w14:textId="77777777" w:rsidR="00DE5637" w:rsidRDefault="005C5928">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LIABILITIES AND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1129DA4"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2366D6E"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D10C80F"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7D7E303" w14:textId="77777777" w:rsidR="00DE5637" w:rsidRDefault="00DE5637">
            <w:pPr>
              <w:spacing w:after="0" w:line="240" w:lineRule="auto"/>
              <w:jc w:val="both"/>
              <w:rPr>
                <w:rFonts w:ascii="Calibri" w:eastAsia="Calibri" w:hAnsi="Calibri" w:cs="Calibri"/>
                <w:color w:val="000000"/>
                <w:sz w:val="20"/>
              </w:rPr>
            </w:pPr>
          </w:p>
        </w:tc>
      </w:tr>
      <w:tr w:rsidR="00DE5637" w14:paraId="60459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4B5D8D12" w14:textId="77777777" w:rsidR="00DE5637" w:rsidRDefault="00DE5637">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EF9C9B9" w14:textId="77777777" w:rsidR="00DE5637" w:rsidRDefault="00DE56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FBCB2CC"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752407DC" w14:textId="77777777" w:rsidR="00DE5637" w:rsidRDefault="00DE56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24E7544" w14:textId="77777777" w:rsidR="00DE5637" w:rsidRDefault="00DE56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16F56C3A" w14:textId="77777777" w:rsidR="00DE5637" w:rsidRDefault="00DE5637">
            <w:pPr>
              <w:spacing w:after="0" w:line="240" w:lineRule="auto"/>
              <w:jc w:val="both"/>
              <w:rPr>
                <w:rFonts w:ascii="Calibri" w:eastAsia="Calibri" w:hAnsi="Calibri" w:cs="Calibri"/>
                <w:color w:val="000000"/>
                <w:sz w:val="20"/>
              </w:rPr>
            </w:pPr>
          </w:p>
        </w:tc>
      </w:tr>
      <w:tr w:rsidR="00DE5637" w14:paraId="4DAE6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960ECB7" w14:textId="77777777" w:rsidR="00DE5637" w:rsidRPr="00E863AD" w:rsidRDefault="005C5928">
            <w:pPr>
              <w:spacing w:after="0" w:line="240" w:lineRule="auto"/>
              <w:jc w:val="both"/>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 Long-term debt, net of unamortized deferred financing costs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66610DB"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54A17C5F"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57,666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22D280B"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29661E8A"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32,283</w:t>
            </w:r>
          </w:p>
        </w:tc>
      </w:tr>
      <w:tr w:rsidR="00DE5637" w14:paraId="44478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36BB06C5"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liabilities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FFF8038"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47E6B737"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3,391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90F8EC5"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64E51AF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4,048</w:t>
            </w:r>
          </w:p>
        </w:tc>
      </w:tr>
      <w:tr w:rsidR="00DE5637" w14:paraId="0A20D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72C3EC2" w14:textId="77777777" w:rsidR="00DE5637" w:rsidRDefault="005C5928">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Total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7703C38"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37C2FC7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96,797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E5C766A"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4C378CC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94,238</w:t>
            </w:r>
          </w:p>
        </w:tc>
      </w:tr>
      <w:tr w:rsidR="00DE5637" w14:paraId="7D807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280E938B" w14:textId="77777777" w:rsidR="00DE5637" w:rsidRDefault="00DE56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523F12A3" w14:textId="77777777" w:rsidR="00DE5637" w:rsidRPr="00E863AD" w:rsidRDefault="005C5928">
            <w:pPr>
              <w:spacing w:after="0" w:line="240" w:lineRule="auto"/>
              <w:jc w:val="both"/>
              <w:rPr>
                <w:rFonts w:ascii="Calibri" w:eastAsia="Calibri" w:hAnsi="Calibri" w:cs="Calibri"/>
                <w:b/>
                <w:color w:val="000000"/>
                <w:sz w:val="20"/>
                <w:lang w:val="en-US"/>
              </w:rPr>
            </w:pPr>
            <w:r w:rsidRPr="00E863AD">
              <w:rPr>
                <w:rFonts w:ascii="Calibri" w:eastAsia="Calibri" w:hAnsi="Calibri" w:cs="Calibri"/>
                <w:b/>
                <w:color w:val="000000"/>
                <w:sz w:val="20"/>
                <w:lang w:val="en-US"/>
              </w:rPr>
              <w:t xml:space="preserve">Total liabilities and stockholders' equity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8BADA92"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135FE75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13A8EFB" w14:textId="77777777" w:rsidR="00DE5637" w:rsidRDefault="005C5928">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1E8C0AA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130,569</w:t>
            </w:r>
          </w:p>
        </w:tc>
      </w:tr>
      <w:tr w:rsidR="00DE5637" w14:paraId="4CFB8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4414F815" w14:textId="77777777" w:rsidR="00DE5637" w:rsidRDefault="00DE56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737E264D" w14:textId="77777777" w:rsidR="00DE5637" w:rsidRDefault="00DE56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9904EA9"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40267872" w14:textId="77777777" w:rsidR="00DE5637" w:rsidRDefault="00DE56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EE77918" w14:textId="77777777" w:rsidR="00DE5637" w:rsidRDefault="00DE56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311D52BB" w14:textId="77777777" w:rsidR="00DE5637" w:rsidRDefault="00DE5637">
            <w:pPr>
              <w:spacing w:after="0" w:line="240" w:lineRule="auto"/>
              <w:jc w:val="right"/>
              <w:rPr>
                <w:rFonts w:ascii="Calibri" w:eastAsia="Calibri" w:hAnsi="Calibri" w:cs="Calibri"/>
                <w:color w:val="000000"/>
                <w:sz w:val="20"/>
              </w:rPr>
            </w:pPr>
          </w:p>
        </w:tc>
      </w:tr>
      <w:tr w:rsidR="00DE5637" w:rsidRPr="00B762BD" w14:paraId="3EA5E1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10455" w:type="dxa"/>
            <w:gridSpan w:val="6"/>
            <w:tcBorders>
              <w:top w:val="nil"/>
              <w:left w:val="nil"/>
              <w:bottom w:val="nil"/>
              <w:right w:val="nil"/>
              <w:tl2br w:val="nil"/>
              <w:tr2bl w:val="nil"/>
            </w:tcBorders>
            <w:shd w:val="clear" w:color="auto" w:fill="auto"/>
            <w:tcMar>
              <w:left w:w="40" w:type="dxa"/>
              <w:right w:w="40" w:type="dxa"/>
            </w:tcMar>
            <w:vAlign w:val="bottom"/>
          </w:tcPr>
          <w:p w14:paraId="6999718B"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 *The balance sheet data as of December 31, 2019 has been derived from the audited consolidated financial statements at that date.</w:t>
            </w:r>
          </w:p>
        </w:tc>
      </w:tr>
    </w:tbl>
    <w:p w14:paraId="7CB682DC" w14:textId="77777777" w:rsidR="00DE5637" w:rsidRPr="00E863AD" w:rsidRDefault="00DE5637">
      <w:pPr>
        <w:spacing w:after="0" w:line="240" w:lineRule="auto"/>
        <w:rPr>
          <w:rFonts w:cs="Calibri"/>
          <w:lang w:val="en-US"/>
        </w:rPr>
      </w:pPr>
    </w:p>
    <w:tbl>
      <w:tblPr>
        <w:tblStyle w:val="CDMRange1"/>
        <w:tblW w:w="10740" w:type="dxa"/>
        <w:tblLayout w:type="fixed"/>
        <w:tblLook w:val="0600" w:firstRow="0" w:lastRow="0" w:firstColumn="0" w:lastColumn="0" w:noHBand="1" w:noVBand="1"/>
      </w:tblPr>
      <w:tblGrid>
        <w:gridCol w:w="195"/>
        <w:gridCol w:w="4260"/>
        <w:gridCol w:w="180"/>
        <w:gridCol w:w="1395"/>
        <w:gridCol w:w="180"/>
        <w:gridCol w:w="1395"/>
        <w:gridCol w:w="165"/>
        <w:gridCol w:w="1395"/>
        <w:gridCol w:w="180"/>
        <w:gridCol w:w="1395"/>
      </w:tblGrid>
      <w:tr w:rsidR="00DE5637" w:rsidRPr="00B762BD" w14:paraId="65808CF1" w14:textId="77777777">
        <w:trPr>
          <w:trHeight w:val="255"/>
        </w:trPr>
        <w:tc>
          <w:tcPr>
            <w:tcW w:w="7605" w:type="dxa"/>
            <w:gridSpan w:val="6"/>
            <w:tcBorders>
              <w:top w:val="nil"/>
              <w:left w:val="nil"/>
              <w:bottom w:val="nil"/>
              <w:right w:val="nil"/>
              <w:tl2br w:val="nil"/>
              <w:tr2bl w:val="nil"/>
            </w:tcBorders>
            <w:shd w:val="clear" w:color="auto" w:fill="auto"/>
            <w:tcMar>
              <w:left w:w="40" w:type="dxa"/>
              <w:right w:w="40" w:type="dxa"/>
            </w:tcMar>
            <w:vAlign w:val="bottom"/>
          </w:tcPr>
          <w:p w14:paraId="00C73068"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OTHER FINANCIAL DATA (CONTINUING AND DISCONTINUED OPERATIONS)</w:t>
            </w:r>
          </w:p>
        </w:tc>
        <w:tc>
          <w:tcPr>
            <w:tcW w:w="165" w:type="dxa"/>
            <w:tcBorders>
              <w:top w:val="nil"/>
              <w:left w:val="nil"/>
              <w:bottom w:val="nil"/>
              <w:right w:val="nil"/>
              <w:tl2br w:val="nil"/>
              <w:tr2bl w:val="nil"/>
            </w:tcBorders>
            <w:shd w:val="clear" w:color="auto" w:fill="auto"/>
            <w:noWrap/>
            <w:tcMar>
              <w:left w:w="0" w:type="dxa"/>
              <w:right w:w="0" w:type="dxa"/>
            </w:tcMar>
            <w:vAlign w:val="bottom"/>
          </w:tcPr>
          <w:p w14:paraId="7498AA45"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FC90484"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DBF0D19"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5666D6C" w14:textId="77777777" w:rsidR="00DE5637" w:rsidRPr="00E863AD" w:rsidRDefault="00DE5637">
            <w:pPr>
              <w:spacing w:after="0" w:line="240" w:lineRule="auto"/>
              <w:rPr>
                <w:rFonts w:ascii="Calibri" w:eastAsia="Calibri" w:hAnsi="Calibri" w:cs="Calibri"/>
                <w:color w:val="000000"/>
                <w:sz w:val="20"/>
                <w:lang w:val="en-US"/>
              </w:rPr>
            </w:pPr>
          </w:p>
        </w:tc>
      </w:tr>
      <w:tr w:rsidR="00DE5637" w:rsidRPr="00B762BD" w14:paraId="241C65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95" w:type="dxa"/>
            <w:tcBorders>
              <w:top w:val="nil"/>
              <w:left w:val="nil"/>
              <w:bottom w:val="nil"/>
              <w:right w:val="nil"/>
              <w:tl2br w:val="nil"/>
              <w:tr2bl w:val="nil"/>
            </w:tcBorders>
            <w:shd w:val="clear" w:color="auto" w:fill="auto"/>
            <w:tcMar>
              <w:left w:w="0" w:type="dxa"/>
              <w:right w:w="0" w:type="dxa"/>
            </w:tcMar>
            <w:vAlign w:val="bottom"/>
          </w:tcPr>
          <w:p w14:paraId="0FABE90C" w14:textId="77777777" w:rsidR="00DE5637" w:rsidRPr="00E863AD" w:rsidRDefault="00DE5637">
            <w:pPr>
              <w:spacing w:after="0" w:line="240" w:lineRule="auto"/>
              <w:rPr>
                <w:rFonts w:ascii="Calibri" w:eastAsia="Calibri" w:hAnsi="Calibri" w:cs="Calibri"/>
                <w:b/>
                <w:color w:val="000000"/>
                <w:sz w:val="20"/>
                <w:lang w:val="en-US"/>
              </w:rPr>
            </w:pPr>
          </w:p>
        </w:tc>
        <w:tc>
          <w:tcPr>
            <w:tcW w:w="4260" w:type="dxa"/>
            <w:tcBorders>
              <w:top w:val="nil"/>
              <w:left w:val="nil"/>
              <w:bottom w:val="nil"/>
              <w:right w:val="nil"/>
              <w:tl2br w:val="nil"/>
              <w:tr2bl w:val="nil"/>
            </w:tcBorders>
            <w:shd w:val="clear" w:color="auto" w:fill="auto"/>
            <w:tcMar>
              <w:left w:w="0" w:type="dxa"/>
              <w:right w:w="0" w:type="dxa"/>
            </w:tcMar>
            <w:vAlign w:val="bottom"/>
          </w:tcPr>
          <w:p w14:paraId="51182FA0" w14:textId="77777777" w:rsidR="00DE5637" w:rsidRPr="00E863AD" w:rsidRDefault="00DE56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7E7E4CB" w14:textId="77777777" w:rsidR="00DE5637" w:rsidRPr="00E863AD" w:rsidRDefault="00DE5637">
            <w:pPr>
              <w:spacing w:after="0" w:line="240" w:lineRule="auto"/>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06410728" w14:textId="77777777" w:rsidR="00DE5637" w:rsidRPr="00E863AD" w:rsidRDefault="00DE56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7BC40FB" w14:textId="77777777" w:rsidR="00DE5637" w:rsidRPr="00E863AD" w:rsidRDefault="00DE5637">
            <w:pPr>
              <w:spacing w:after="0" w:line="240" w:lineRule="auto"/>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5C15A08B" w14:textId="77777777" w:rsidR="00DE5637" w:rsidRPr="00E863AD" w:rsidRDefault="00DE5637">
            <w:pPr>
              <w:spacing w:after="0" w:line="240" w:lineRule="auto"/>
              <w:rPr>
                <w:rFonts w:ascii="Calibri" w:eastAsia="Calibri" w:hAnsi="Calibri" w:cs="Calibri"/>
                <w:b/>
                <w:color w:val="000000"/>
                <w:sz w:val="20"/>
                <w:lang w:val="en-US"/>
              </w:rPr>
            </w:pPr>
          </w:p>
        </w:tc>
        <w:tc>
          <w:tcPr>
            <w:tcW w:w="165" w:type="dxa"/>
            <w:tcBorders>
              <w:top w:val="nil"/>
              <w:left w:val="nil"/>
              <w:bottom w:val="nil"/>
              <w:right w:val="nil"/>
              <w:tl2br w:val="nil"/>
              <w:tr2bl w:val="nil"/>
            </w:tcBorders>
            <w:shd w:val="clear" w:color="auto" w:fill="auto"/>
            <w:noWrap/>
            <w:tcMar>
              <w:left w:w="0" w:type="dxa"/>
              <w:right w:w="0" w:type="dxa"/>
            </w:tcMar>
            <w:vAlign w:val="bottom"/>
          </w:tcPr>
          <w:p w14:paraId="44BCD9A6" w14:textId="77777777" w:rsidR="00DE5637" w:rsidRPr="00E863AD" w:rsidRDefault="00DE56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1BF69763" w14:textId="77777777" w:rsidR="00DE5637" w:rsidRPr="00E863AD" w:rsidRDefault="00DE56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E1A81E3" w14:textId="77777777" w:rsidR="00DE5637" w:rsidRPr="00E863AD" w:rsidRDefault="00DE5637">
            <w:pPr>
              <w:spacing w:after="0" w:line="240" w:lineRule="auto"/>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39F5C1E6" w14:textId="77777777" w:rsidR="00DE5637" w:rsidRPr="00E863AD" w:rsidRDefault="00DE5637">
            <w:pPr>
              <w:spacing w:after="0" w:line="240" w:lineRule="auto"/>
              <w:rPr>
                <w:rFonts w:ascii="Calibri" w:eastAsia="Calibri" w:hAnsi="Calibri" w:cs="Calibri"/>
                <w:b/>
                <w:color w:val="000000"/>
                <w:sz w:val="20"/>
                <w:lang w:val="en-US"/>
              </w:rPr>
            </w:pPr>
          </w:p>
        </w:tc>
      </w:tr>
      <w:tr w:rsidR="00DE5637" w:rsidRPr="00B762BD" w14:paraId="27AF3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tcMar>
              <w:left w:w="0" w:type="dxa"/>
              <w:right w:w="0" w:type="dxa"/>
            </w:tcMar>
            <w:vAlign w:val="bottom"/>
          </w:tcPr>
          <w:p w14:paraId="7073997E"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1DD465F8"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858A3D9"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7B92A3FB"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w:t>
            </w:r>
          </w:p>
        </w:tc>
        <w:tc>
          <w:tcPr>
            <w:tcW w:w="165" w:type="dxa"/>
            <w:tcBorders>
              <w:top w:val="nil"/>
              <w:left w:val="nil"/>
              <w:bottom w:val="nil"/>
              <w:right w:val="nil"/>
              <w:tl2br w:val="nil"/>
              <w:tr2bl w:val="nil"/>
            </w:tcBorders>
            <w:shd w:val="clear" w:color="auto" w:fill="auto"/>
            <w:tcMar>
              <w:left w:w="0" w:type="dxa"/>
              <w:right w:w="0" w:type="dxa"/>
            </w:tcMar>
            <w:vAlign w:val="bottom"/>
          </w:tcPr>
          <w:p w14:paraId="43A9C075" w14:textId="77777777" w:rsidR="00DE5637" w:rsidRPr="00E863AD" w:rsidRDefault="00DE5637">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62490E1C"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years ended December 31,</w:t>
            </w:r>
          </w:p>
        </w:tc>
      </w:tr>
      <w:tr w:rsidR="00DE5637" w14:paraId="57080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8FFCD7E"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587B1092"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4379AEB"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643ECFBC"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8B43922"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1500C564"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65" w:type="dxa"/>
            <w:tcBorders>
              <w:top w:val="nil"/>
              <w:left w:val="nil"/>
              <w:bottom w:val="nil"/>
              <w:right w:val="nil"/>
              <w:tl2br w:val="nil"/>
              <w:tr2bl w:val="nil"/>
            </w:tcBorders>
            <w:shd w:val="clear" w:color="auto" w:fill="auto"/>
            <w:tcMar>
              <w:left w:w="0" w:type="dxa"/>
              <w:right w:w="0" w:type="dxa"/>
            </w:tcMar>
            <w:vAlign w:val="bottom"/>
          </w:tcPr>
          <w:p w14:paraId="59A1405A"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1A2EB149"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C540947" w14:textId="77777777" w:rsidR="00DE5637" w:rsidRDefault="00DE56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0EF48E69" w14:textId="77777777" w:rsidR="00DE5637" w:rsidRDefault="005C5928">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DE5637" w14:paraId="1FFAC1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ADAAA46" w14:textId="77777777" w:rsidR="00DE5637" w:rsidRDefault="00DE5637">
            <w:pPr>
              <w:spacing w:after="0" w:line="240" w:lineRule="auto"/>
              <w:rPr>
                <w:rFonts w:ascii="Calibri" w:eastAsia="Calibri" w:hAnsi="Calibri" w:cs="Calibri"/>
                <w:color w:val="000000"/>
                <w:sz w:val="20"/>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61C33B6F"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9CC02D8" w14:textId="77777777" w:rsidR="00DE5637" w:rsidRDefault="00DE5637">
            <w:pPr>
              <w:spacing w:after="0" w:line="240" w:lineRule="auto"/>
              <w:jc w:val="center"/>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4295D310"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8CEE84E"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04B2A380"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65" w:type="dxa"/>
            <w:tcBorders>
              <w:top w:val="nil"/>
              <w:left w:val="nil"/>
              <w:bottom w:val="nil"/>
              <w:right w:val="nil"/>
              <w:tl2br w:val="nil"/>
              <w:tr2bl w:val="nil"/>
            </w:tcBorders>
            <w:shd w:val="clear" w:color="auto" w:fill="auto"/>
            <w:tcMar>
              <w:left w:w="0" w:type="dxa"/>
              <w:right w:w="0" w:type="dxa"/>
            </w:tcMar>
            <w:vAlign w:val="bottom"/>
          </w:tcPr>
          <w:p w14:paraId="54370A97"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5E9E1952" w14:textId="77777777" w:rsidR="00DE5637" w:rsidRDefault="005C5928">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23E5027" w14:textId="77777777" w:rsidR="00DE5637" w:rsidRDefault="00DE56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0" w:type="dxa"/>
              <w:right w:w="0" w:type="dxa"/>
            </w:tcMar>
            <w:vAlign w:val="bottom"/>
          </w:tcPr>
          <w:p w14:paraId="5B95E18D" w14:textId="77777777" w:rsidR="00DE5637" w:rsidRDefault="00DE5637">
            <w:pPr>
              <w:spacing w:after="0" w:line="240" w:lineRule="auto"/>
              <w:jc w:val="center"/>
              <w:rPr>
                <w:rFonts w:ascii="Calibri" w:eastAsia="Calibri" w:hAnsi="Calibri" w:cs="Calibri"/>
                <w:color w:val="000000"/>
                <w:sz w:val="18"/>
              </w:rPr>
            </w:pPr>
          </w:p>
        </w:tc>
      </w:tr>
      <w:tr w:rsidR="00DE5637" w14:paraId="32398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71EF7E69" w14:textId="77777777" w:rsidR="00DE5637" w:rsidRPr="00E863AD" w:rsidRDefault="005C5928">
            <w:pPr>
              <w:spacing w:after="0" w:line="240" w:lineRule="auto"/>
              <w:jc w:val="both"/>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 Net Cash provided by / (used in) Operating Activities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BD17B02"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E68AEC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881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104F057"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0585055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(305)</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5B2B666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B0437F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13,176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BE2C6B5"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25EDE36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(4,194)</w:t>
            </w:r>
          </w:p>
        </w:tc>
      </w:tr>
      <w:tr w:rsidR="00DE5637" w14:paraId="0BCC4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649B7157" w14:textId="77777777" w:rsidR="00DE5637" w:rsidRPr="00E863AD" w:rsidRDefault="005C5928">
            <w:pPr>
              <w:spacing w:after="0" w:line="240" w:lineRule="auto"/>
              <w:jc w:val="both"/>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 Net Cash provided by / (used in) Investing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A57F637"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B8D6D2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(22,235)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BA059F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1A81D7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3,188</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197E412F"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1B97665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(40,146)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A3DEF4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51117D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(18,517)</w:t>
            </w:r>
          </w:p>
        </w:tc>
      </w:tr>
      <w:tr w:rsidR="00DE5637" w14:paraId="23851A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3754ECF3" w14:textId="77777777" w:rsidR="00DE5637" w:rsidRPr="00E863AD" w:rsidRDefault="005C5928">
            <w:pPr>
              <w:spacing w:after="0" w:line="240" w:lineRule="auto"/>
              <w:jc w:val="both"/>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 Net Cash provided by Financing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012E511"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FEA9F4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5,544</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6EC77E6"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8C092F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15,981</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2ED3C4FC"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D38BF8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21,985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519736A"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C6D98A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38,581</w:t>
            </w:r>
          </w:p>
        </w:tc>
      </w:tr>
    </w:tbl>
    <w:p w14:paraId="444DDBB3" w14:textId="77777777" w:rsidR="0013625F" w:rsidRPr="00456147" w:rsidRDefault="005C5928" w:rsidP="000604A9">
      <w:pPr>
        <w:pStyle w:val="Normal0"/>
        <w:pageBreakBefore/>
        <w:jc w:val="both"/>
        <w:rPr>
          <w:rFonts w:ascii="Calibri" w:eastAsia="Calibri" w:hAnsi="Calibri" w:cs="Calibri"/>
          <w:b/>
          <w:bCs/>
          <w:lang w:val="en-GB"/>
        </w:rPr>
      </w:pPr>
      <w:r>
        <w:rPr>
          <w:rFonts w:ascii="Calibri" w:eastAsia="Calibri" w:hAnsi="Calibri" w:cs="Calibri"/>
          <w:b/>
          <w:bCs/>
          <w:lang w:val="en-GB"/>
        </w:rPr>
        <w:t>Dividend Policy</w:t>
      </w:r>
      <w:r w:rsidR="00AE66D4">
        <w:rPr>
          <w:rFonts w:ascii="Calibri" w:eastAsia="Calibri" w:hAnsi="Calibri" w:cs="Calibri"/>
          <w:b/>
          <w:bCs/>
          <w:lang w:val="en-GB"/>
        </w:rPr>
        <w:t xml:space="preserve"> – Quarterly </w:t>
      </w:r>
      <w:r>
        <w:rPr>
          <w:rFonts w:ascii="Calibri" w:eastAsia="Calibri" w:hAnsi="Calibri" w:cs="Calibri"/>
          <w:b/>
          <w:bCs/>
          <w:lang w:val="en-GB"/>
        </w:rPr>
        <w:t>Calcula</w:t>
      </w:r>
      <w:r w:rsidR="00AE66D4">
        <w:rPr>
          <w:rFonts w:ascii="Calibri" w:eastAsia="Calibri" w:hAnsi="Calibri" w:cs="Calibri"/>
          <w:b/>
          <w:bCs/>
          <w:lang w:val="en-GB"/>
        </w:rPr>
        <w:t>tions</w:t>
      </w:r>
    </w:p>
    <w:p w14:paraId="79F24DEC" w14:textId="77777777" w:rsidR="008E425F" w:rsidRDefault="005C5928" w:rsidP="00DA4DA7">
      <w:pPr>
        <w:jc w:val="both"/>
        <w:rPr>
          <w:rFonts w:cs="Calibri"/>
          <w:lang w:val="en-US"/>
        </w:rPr>
      </w:pPr>
      <w:r>
        <w:rPr>
          <w:rFonts w:cs="Calibri"/>
          <w:lang w:val="en-US"/>
        </w:rPr>
        <w:t xml:space="preserve">Our Board of Directors has adopted a variable quarterly dividend policy, pursuant to which we may declare and pay a variable quarterly cash dividend. If declared, the quarterly dividend is expected to be paid each February, May, August and November and  will be equal to available cash from operations during the previous quarter after cash payments for debt repayment and interest expense and reserves for the replacement of our vessels, scheduled </w:t>
      </w:r>
      <w:proofErr w:type="spellStart"/>
      <w:r>
        <w:rPr>
          <w:rFonts w:cs="Calibri"/>
          <w:lang w:val="en-US"/>
        </w:rPr>
        <w:t>drydockings</w:t>
      </w:r>
      <w:proofErr w:type="spellEnd"/>
      <w:r>
        <w:rPr>
          <w:rFonts w:cs="Calibri"/>
          <w:lang w:val="en-US"/>
        </w:rPr>
        <w:t xml:space="preserve">, intermediate and special surveys and other purposes as our Board of Directors may from time to time determine are required, after taking into account contingent liabilities, the terms of any credit facility, our growth strategy and other cash needs </w:t>
      </w:r>
      <w:r w:rsidR="002277FF">
        <w:rPr>
          <w:rFonts w:cs="Calibri"/>
          <w:lang w:val="en-US"/>
        </w:rPr>
        <w:t>as well as</w:t>
      </w:r>
      <w:r>
        <w:rPr>
          <w:rFonts w:cs="Calibri"/>
          <w:lang w:val="en-US"/>
        </w:rPr>
        <w:t xml:space="preserve"> the requirements of Marshall Islands law. The declaration and payment of dividends is, at all times, subject to the discretion of our Board of Directors. Our Board of Directors may review and amend our dividend policy from time to time, in light of our plans for future growth and other factors.</w:t>
      </w:r>
    </w:p>
    <w:p w14:paraId="5FA44627" w14:textId="77777777" w:rsidR="008E425F" w:rsidRDefault="005C5928" w:rsidP="00DA4DA7">
      <w:pPr>
        <w:jc w:val="both"/>
        <w:rPr>
          <w:rFonts w:cs="Calibri"/>
          <w:lang w:val="en-US"/>
        </w:rPr>
      </w:pPr>
      <w:r>
        <w:rPr>
          <w:rFonts w:cs="Calibri"/>
          <w:lang w:val="en-US"/>
        </w:rPr>
        <w:t>In accordance with our dividend policy, and taking into account the above-listed factors, we expect to pay dividends only if during the preceding quarter Quarterly Cash Flow is positive and Quarter-End Excess Cash is also positive. As a general guideline, the amount of any such dividends is expected to be based on a pay-out ratio of the lower of i) Quarterly Cash Flow</w:t>
      </w:r>
      <w:r w:rsidR="00BE5BD6">
        <w:rPr>
          <w:rFonts w:cs="Calibri"/>
          <w:lang w:val="en-US"/>
        </w:rPr>
        <w:t>;</w:t>
      </w:r>
      <w:r>
        <w:rPr>
          <w:rFonts w:cs="Calibri"/>
          <w:lang w:val="en-US"/>
        </w:rPr>
        <w:t xml:space="preserve"> and ii) Quarter-End Excess Cash. So long as our end of quarter outstanding debt exceeds our equity market capitalization our pay-out ratio is expected to be 50%. We will consider increasing the pay-out ratio gradually up to a maximum level of 90% that we may achieve when our end of quarter outstanding debt is less than 10% of our</w:t>
      </w:r>
      <w:r w:rsidR="009D0434">
        <w:rPr>
          <w:rFonts w:cs="Calibri"/>
          <w:lang w:val="en-US"/>
        </w:rPr>
        <w:t xml:space="preserve"> equity market capitalization. </w:t>
      </w:r>
      <w:r>
        <w:rPr>
          <w:rFonts w:cs="Calibri"/>
          <w:lang w:val="en-US"/>
        </w:rPr>
        <w:t>Quarter-End Excess Cash is defined as actual end of quarter Cash and Cash Equivalents over our Minimum Cash Threshold. Minimum Cash Threshold is defined as the sum of minimum liquidity pursuant to our loan agreements and $1.5 million per vessel. Our bank facilities currently require us to maintain minimum liquidity of $9.0 million.  </w:t>
      </w:r>
    </w:p>
    <w:p w14:paraId="3C2423E7" w14:textId="77777777" w:rsidR="008E425F" w:rsidRDefault="005C5928" w:rsidP="00DA4DA7">
      <w:pPr>
        <w:pStyle w:val="NoSpacing"/>
        <w:spacing w:line="276" w:lineRule="auto"/>
        <w:jc w:val="both"/>
        <w:rPr>
          <w:rFonts w:cs="Calibri"/>
          <w:lang w:val="en-US"/>
        </w:rPr>
      </w:pPr>
      <w:r>
        <w:rPr>
          <w:rFonts w:cs="Calibri"/>
          <w:lang w:val="en-US"/>
        </w:rPr>
        <w:t xml:space="preserve">Quarterly Cash Flow is equal to voyage and time charter revenues less voyage expenses, less vessel operating expenses, less general and administrative expenses, less - the greater of i) net interest expense and repayment of long-term bank debt or ii) fleet replacement reserves - and less maintenance reserves for our fleet. </w:t>
      </w:r>
    </w:p>
    <w:p w14:paraId="518237AC" w14:textId="77777777" w:rsidR="008E425F" w:rsidRDefault="008E425F" w:rsidP="00DA4DA7">
      <w:pPr>
        <w:pStyle w:val="NoSpacing"/>
        <w:spacing w:line="276" w:lineRule="auto"/>
        <w:jc w:val="both"/>
        <w:rPr>
          <w:rFonts w:cs="Calibri"/>
          <w:lang w:val="en-US"/>
        </w:rPr>
      </w:pPr>
    </w:p>
    <w:p w14:paraId="0B9EAAC3" w14:textId="77777777" w:rsidR="002F0860" w:rsidRPr="00DA4DA7" w:rsidRDefault="005C5928" w:rsidP="00DA4DA7">
      <w:pPr>
        <w:pStyle w:val="NoSpacing"/>
        <w:spacing w:line="276" w:lineRule="auto"/>
        <w:jc w:val="both"/>
        <w:rPr>
          <w:rFonts w:cs="Calibri"/>
          <w:lang w:val="en-US"/>
        </w:rPr>
      </w:pPr>
      <w:r>
        <w:rPr>
          <w:rFonts w:cs="Calibri"/>
          <w:lang w:val="en-US"/>
        </w:rPr>
        <w:t>We believe the above approach will en</w:t>
      </w:r>
      <w:r w:rsidR="001C6D48">
        <w:rPr>
          <w:rFonts w:cs="Calibri"/>
          <w:lang w:val="en-US"/>
        </w:rPr>
        <w:t>sure the sustainability of our C</w:t>
      </w:r>
      <w:r>
        <w:rPr>
          <w:rFonts w:cs="Calibri"/>
          <w:lang w:val="en-US"/>
        </w:rPr>
        <w:t>ompany and replacement of our fleet as during quarters where either Excess Cash is negative or Quarterly Cash Flow is negative, we will not pay dividends until Quarterly Cash Flow is positive and Excess Cash is also positive. Below are our calculations of Quarter-End Excess Cash and Quarterly Cash Flow for the fourth quarter of 2020.</w:t>
      </w:r>
    </w:p>
    <w:p w14:paraId="6109B62E" w14:textId="77777777" w:rsidR="00B53E27" w:rsidRPr="003F133C" w:rsidRDefault="00B53E27" w:rsidP="00DA4DA7">
      <w:pPr>
        <w:pStyle w:val="BodyText"/>
        <w:spacing w:line="276" w:lineRule="auto"/>
        <w:jc w:val="both"/>
        <w:rPr>
          <w:rFonts w:ascii="Calibri" w:eastAsia="Calibri" w:hAnsi="Calibri" w:cs="Calibri"/>
          <w:b/>
          <w:szCs w:val="24"/>
          <w:lang w:val="en-GB"/>
        </w:rPr>
      </w:pPr>
    </w:p>
    <w:tbl>
      <w:tblPr>
        <w:tblStyle w:val="CDMRange2"/>
        <w:tblW w:w="8850" w:type="dxa"/>
        <w:tblLayout w:type="fixed"/>
        <w:tblLook w:val="0600" w:firstRow="0" w:lastRow="0" w:firstColumn="0" w:lastColumn="0" w:noHBand="1" w:noVBand="1"/>
      </w:tblPr>
      <w:tblGrid>
        <w:gridCol w:w="285"/>
        <w:gridCol w:w="4470"/>
        <w:gridCol w:w="180"/>
        <w:gridCol w:w="3915"/>
      </w:tblGrid>
      <w:tr w:rsidR="00DE5637" w14:paraId="0A70A5FF" w14:textId="77777777">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14:paraId="4C9EFD85" w14:textId="77777777" w:rsidR="00DE5637" w:rsidRDefault="005C5928">
            <w:pPr>
              <w:pageBreakBefore/>
              <w:spacing w:after="0" w:line="240" w:lineRule="auto"/>
              <w:rPr>
                <w:rFonts w:ascii="Calibri" w:eastAsia="Calibri" w:hAnsi="Calibri" w:cs="Calibri"/>
                <w:b/>
                <w:color w:val="000000"/>
                <w:sz w:val="20"/>
              </w:rPr>
            </w:pPr>
            <w:r>
              <w:rPr>
                <w:rFonts w:ascii="Calibri" w:eastAsia="Calibri" w:hAnsi="Calibri" w:cs="Calibri"/>
                <w:b/>
                <w:color w:val="000000"/>
                <w:sz w:val="20"/>
              </w:rPr>
              <w:t>DIVIDEND CALCULATIONS</w:t>
            </w:r>
          </w:p>
        </w:tc>
      </w:tr>
      <w:tr w:rsidR="00DE5637" w:rsidRPr="00B762BD" w14:paraId="00F68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14:paraId="1E9CD07A"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(Expressed in thousands of U.S. Dollars)</w:t>
            </w:r>
          </w:p>
        </w:tc>
      </w:tr>
      <w:tr w:rsidR="00DE5637" w:rsidRPr="00B762BD" w14:paraId="66F2E6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D55432C"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AFEAE61" w14:textId="77777777" w:rsidR="00DE5637" w:rsidRPr="00E863AD" w:rsidRDefault="00DE56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74717B" w14:textId="77777777" w:rsidR="00DE5637" w:rsidRPr="00E863AD" w:rsidRDefault="00DE5637">
            <w:pPr>
              <w:spacing w:after="0" w:line="240" w:lineRule="auto"/>
              <w:jc w:val="center"/>
              <w:rPr>
                <w:rFonts w:ascii="Calibri" w:eastAsia="Calibri" w:hAnsi="Calibri" w:cs="Calibri"/>
                <w:b/>
                <w:color w:val="000000"/>
                <w:sz w:val="20"/>
                <w:lang w:val="en-US"/>
              </w:rPr>
            </w:pPr>
          </w:p>
        </w:tc>
        <w:tc>
          <w:tcPr>
            <w:tcW w:w="3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09323A4A" w14:textId="77777777" w:rsidR="00DE5637" w:rsidRPr="00E863AD" w:rsidRDefault="005C5928">
            <w:pPr>
              <w:spacing w:after="0" w:line="240" w:lineRule="auto"/>
              <w:jc w:val="center"/>
              <w:rPr>
                <w:rFonts w:ascii="Calibri" w:eastAsia="Calibri" w:hAnsi="Calibri" w:cs="Calibri"/>
                <w:b/>
                <w:color w:val="000000"/>
                <w:sz w:val="18"/>
                <w:lang w:val="en-US"/>
              </w:rPr>
            </w:pPr>
            <w:r w:rsidRPr="00E863AD">
              <w:rPr>
                <w:rFonts w:ascii="Calibri" w:eastAsia="Calibri" w:hAnsi="Calibri" w:cs="Calibri"/>
                <w:b/>
                <w:color w:val="000000"/>
                <w:sz w:val="18"/>
                <w:lang w:val="en-US"/>
              </w:rPr>
              <w:t>For the three months ended December 31, 2020</w:t>
            </w:r>
          </w:p>
        </w:tc>
      </w:tr>
      <w:tr w:rsidR="00DE5637" w14:paraId="0E148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F7DB5C4" w14:textId="77777777" w:rsidR="00DE5637" w:rsidRPr="00E863AD" w:rsidRDefault="00DE5637">
            <w:pPr>
              <w:spacing w:after="0" w:line="240" w:lineRule="auto"/>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4B2EA75"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ED9649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34F3F54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7,205</w:t>
            </w:r>
          </w:p>
        </w:tc>
      </w:tr>
      <w:tr w:rsidR="00DE5637" w14:paraId="3CEE77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453DE1ED"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721128A5"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Less, Voyage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7514332"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238B956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(3,311)</w:t>
            </w:r>
          </w:p>
        </w:tc>
      </w:tr>
      <w:tr w:rsidR="00DE5637" w14:paraId="6C743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23623B0E"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A804947"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Less, Vessel operating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687DD5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554252ED"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(2,412)</w:t>
            </w:r>
          </w:p>
        </w:tc>
      </w:tr>
      <w:tr w:rsidR="00DE5637" w14:paraId="4A69F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41F5D3C9"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ECAAD33"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Less, General and administrative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063359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490B1D25"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(1,668)</w:t>
            </w:r>
          </w:p>
        </w:tc>
      </w:tr>
      <w:tr w:rsidR="00DE5637" w14:paraId="5A6EB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5F6814FD"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36FA0906"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1390039" w14:textId="77777777" w:rsidR="00DE5637" w:rsidRDefault="00DE5637">
            <w:pPr>
              <w:spacing w:after="0" w:line="240" w:lineRule="auto"/>
              <w:rPr>
                <w:rFonts w:ascii="Calibri" w:eastAsia="Calibri" w:hAnsi="Calibri" w:cs="Calibri"/>
                <w:color w:val="000000"/>
                <w:sz w:val="20"/>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14:paraId="72CA6AC3" w14:textId="77777777" w:rsidR="00DE5637" w:rsidRDefault="00DE5637">
            <w:pPr>
              <w:spacing w:after="0" w:line="240" w:lineRule="auto"/>
              <w:rPr>
                <w:rFonts w:ascii="Calibri" w:eastAsia="Calibri" w:hAnsi="Calibri" w:cs="Calibri"/>
                <w:color w:val="000000"/>
                <w:sz w:val="20"/>
              </w:rPr>
            </w:pPr>
          </w:p>
        </w:tc>
      </w:tr>
      <w:tr w:rsidR="00DE5637" w:rsidRPr="00B762BD" w14:paraId="0E5FB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64412FCB"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3D37309" w14:textId="77777777" w:rsidR="00DE5637" w:rsidRPr="00E863AD" w:rsidRDefault="005C5928">
            <w:pPr>
              <w:spacing w:after="0" w:line="240" w:lineRule="auto"/>
              <w:rPr>
                <w:rFonts w:ascii="Calibri" w:eastAsia="Calibri" w:hAnsi="Calibri" w:cs="Calibri"/>
                <w:b/>
                <w:i/>
                <w:color w:val="000000"/>
                <w:sz w:val="20"/>
                <w:lang w:val="en-US"/>
              </w:rPr>
            </w:pPr>
            <w:r w:rsidRPr="00E863AD">
              <w:rPr>
                <w:rFonts w:ascii="Calibri" w:eastAsia="Calibri" w:hAnsi="Calibri" w:cs="Calibri"/>
                <w:b/>
                <w:i/>
                <w:color w:val="000000"/>
                <w:sz w:val="20"/>
                <w:lang w:val="en-US"/>
              </w:rPr>
              <w:t>Less, Greater of (I) or (II):</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1F0F683" w14:textId="77777777" w:rsidR="00DE5637" w:rsidRPr="00E863AD" w:rsidRDefault="00DE5637">
            <w:pPr>
              <w:spacing w:after="0" w:line="240" w:lineRule="auto"/>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14:paraId="242DDC0E" w14:textId="77777777" w:rsidR="00DE5637" w:rsidRPr="00E863AD" w:rsidRDefault="00DE5637">
            <w:pPr>
              <w:spacing w:after="0" w:line="240" w:lineRule="auto"/>
              <w:rPr>
                <w:rFonts w:ascii="Calibri" w:eastAsia="Calibri" w:hAnsi="Calibri" w:cs="Calibri"/>
                <w:color w:val="000000"/>
                <w:sz w:val="20"/>
                <w:lang w:val="en-US"/>
              </w:rPr>
            </w:pPr>
          </w:p>
        </w:tc>
      </w:tr>
      <w:tr w:rsidR="00DE5637" w14:paraId="66F2E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A0CF46B" w14:textId="77777777" w:rsidR="00DE5637" w:rsidRPr="00E863AD" w:rsidRDefault="00DE5637">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E0961D9"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8FB856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243A2D9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(619)</w:t>
            </w:r>
          </w:p>
        </w:tc>
      </w:tr>
      <w:tr w:rsidR="00DE5637" w14:paraId="786E6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FF099BE"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C46BD88"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Plus, Repayment of long-term bank debt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0E1C406"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02A0E2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(2,453)</w:t>
            </w:r>
          </w:p>
        </w:tc>
      </w:tr>
      <w:tr w:rsidR="00DE5637" w14:paraId="2412E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EA631A4"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8CB3E78"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Total (I)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828258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735BFF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(3,072)</w:t>
            </w:r>
          </w:p>
        </w:tc>
      </w:tr>
      <w:tr w:rsidR="00DE5637" w14:paraId="1F568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3905ADB"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3FA24E7" w14:textId="77777777" w:rsidR="00DE5637" w:rsidRDefault="005C5928">
            <w:pPr>
              <w:spacing w:after="0" w:line="240" w:lineRule="auto"/>
              <w:rPr>
                <w:rFonts w:ascii="Calibri" w:eastAsia="Calibri" w:hAnsi="Calibri" w:cs="Calibri"/>
                <w:b/>
                <w:i/>
                <w:color w:val="000000"/>
                <w:sz w:val="20"/>
              </w:rPr>
            </w:pPr>
            <w:r>
              <w:rPr>
                <w:rFonts w:ascii="Calibri" w:eastAsia="Calibri" w:hAnsi="Calibri" w:cs="Calibri"/>
                <w:b/>
                <w:i/>
                <w:color w:val="000000"/>
                <w:sz w:val="20"/>
              </w:rPr>
              <w:t>Or</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66853D" w14:textId="77777777" w:rsidR="00DE5637" w:rsidRDefault="00DE5637">
            <w:pPr>
              <w:spacing w:after="0" w:line="240" w:lineRule="auto"/>
              <w:rPr>
                <w:rFonts w:ascii="Calibri" w:eastAsia="Calibri" w:hAnsi="Calibri" w:cs="Calibri"/>
                <w:color w:val="000000"/>
                <w:sz w:val="20"/>
              </w:rPr>
            </w:pPr>
          </w:p>
        </w:tc>
        <w:tc>
          <w:tcPr>
            <w:tcW w:w="3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E124E65" w14:textId="77777777" w:rsidR="00DE5637" w:rsidRDefault="00DE5637">
            <w:pPr>
              <w:spacing w:after="0" w:line="240" w:lineRule="auto"/>
              <w:rPr>
                <w:rFonts w:ascii="Calibri" w:eastAsia="Calibri" w:hAnsi="Calibri" w:cs="Calibri"/>
                <w:color w:val="000000"/>
                <w:sz w:val="20"/>
              </w:rPr>
            </w:pPr>
          </w:p>
        </w:tc>
      </w:tr>
      <w:tr w:rsidR="00DE5637" w14:paraId="0E26B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555444BF"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CDE44FB"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Replacement reserve (II)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60912C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52100C0"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(1,714)</w:t>
            </w:r>
          </w:p>
        </w:tc>
      </w:tr>
      <w:tr w:rsidR="00DE5637" w14:paraId="7CC18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7F544118"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E5224E9" w14:textId="77777777" w:rsidR="00DE5637" w:rsidRDefault="00DE5637">
            <w:pPr>
              <w:spacing w:after="0" w:line="240" w:lineRule="auto"/>
              <w:rPr>
                <w:rFonts w:ascii="Calibri" w:eastAsia="Calibri" w:hAnsi="Calibri" w:cs="Calibri"/>
                <w:b/>
                <w: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5EEDC4" w14:textId="77777777" w:rsidR="00DE5637" w:rsidRDefault="00DE5637">
            <w:pPr>
              <w:spacing w:after="0" w:line="240" w:lineRule="auto"/>
              <w:rPr>
                <w:rFonts w:ascii="Calibri" w:eastAsia="Calibri" w:hAnsi="Calibri" w:cs="Calibri"/>
                <w:color w:val="000000"/>
                <w:sz w:val="20"/>
              </w:rPr>
            </w:pPr>
          </w:p>
        </w:tc>
        <w:tc>
          <w:tcPr>
            <w:tcW w:w="3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D439FE" w14:textId="77777777" w:rsidR="00DE5637" w:rsidRDefault="00DE5637">
            <w:pPr>
              <w:spacing w:after="0" w:line="240" w:lineRule="auto"/>
              <w:rPr>
                <w:rFonts w:ascii="Calibri" w:eastAsia="Calibri" w:hAnsi="Calibri" w:cs="Calibri"/>
                <w:color w:val="000000"/>
                <w:sz w:val="20"/>
              </w:rPr>
            </w:pPr>
          </w:p>
        </w:tc>
      </w:tr>
      <w:tr w:rsidR="00DE5637" w14:paraId="55EA0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28054F9C"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ECBDCB9"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 xml:space="preserve">Less, Maintenance reserve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DDFA93C" w14:textId="77777777" w:rsidR="00DE5637" w:rsidRDefault="00DE5637">
            <w:pPr>
              <w:spacing w:after="0" w:line="240" w:lineRule="auto"/>
              <w:rPr>
                <w:rFonts w:ascii="Calibri" w:eastAsia="Calibri" w:hAnsi="Calibri" w:cs="Calibri"/>
                <w:color w:val="000000"/>
                <w:sz w:val="20"/>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6C183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(438)</w:t>
            </w:r>
          </w:p>
        </w:tc>
      </w:tr>
      <w:tr w:rsidR="00DE5637" w14:paraId="6DBEC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E8478FF"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Quarterly Cash Flow (A)</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B22803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14:paraId="459E8771" w14:textId="77777777" w:rsidR="00DE5637" w:rsidRDefault="005C5928">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(3,696)</w:t>
            </w:r>
          </w:p>
        </w:tc>
      </w:tr>
      <w:tr w:rsidR="00DE5637" w14:paraId="4C303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4AF39919"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E452B38"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980D10" w14:textId="77777777" w:rsidR="00DE5637" w:rsidRDefault="00DE5637">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6A39F31B" w14:textId="77777777" w:rsidR="00DE5637" w:rsidRDefault="00DE5637">
            <w:pPr>
              <w:spacing w:after="0" w:line="240" w:lineRule="auto"/>
              <w:rPr>
                <w:rFonts w:ascii="Calibri" w:eastAsia="Calibri" w:hAnsi="Calibri" w:cs="Calibri"/>
                <w:color w:val="000000"/>
                <w:sz w:val="20"/>
              </w:rPr>
            </w:pPr>
          </w:p>
        </w:tc>
      </w:tr>
      <w:tr w:rsidR="00DE5637" w14:paraId="544775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712A7715"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5275FDC"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Cash and cash equivalents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2953EBB"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100" w:type="dxa"/>
            </w:tcMar>
            <w:vAlign w:val="bottom"/>
          </w:tcPr>
          <w:p w14:paraId="4294748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21,378</w:t>
            </w:r>
          </w:p>
        </w:tc>
      </w:tr>
      <w:tr w:rsidR="00DE5637" w14:paraId="1DD7B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54651FCB" w14:textId="77777777" w:rsidR="00DE5637" w:rsidRDefault="00DE56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681A06A"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Less, Minimum Cash Threshold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5F3CB09"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4C111E1"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16,500</w:t>
            </w:r>
          </w:p>
        </w:tc>
      </w:tr>
      <w:tr w:rsidR="00DE5637" w14:paraId="30D330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7797925E"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Quarter-End Excess Cash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CD71604"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3274404A" w14:textId="77777777" w:rsidR="00DE5637" w:rsidRDefault="005C5928">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4,878</w:t>
            </w:r>
          </w:p>
        </w:tc>
      </w:tr>
      <w:tr w:rsidR="00DE5637" w14:paraId="66332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0F85B45"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2D22575" w14:textId="77777777" w:rsidR="00DE5637" w:rsidRDefault="00DE56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2F3C69C" w14:textId="77777777" w:rsidR="00DE5637" w:rsidRDefault="00DE5637">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2D16FEA1" w14:textId="77777777" w:rsidR="00DE5637" w:rsidRDefault="00DE5637">
            <w:pPr>
              <w:spacing w:after="0" w:line="240" w:lineRule="auto"/>
              <w:rPr>
                <w:rFonts w:ascii="Calibri" w:eastAsia="Calibri" w:hAnsi="Calibri" w:cs="Calibri"/>
                <w:color w:val="000000"/>
                <w:sz w:val="20"/>
              </w:rPr>
            </w:pPr>
          </w:p>
        </w:tc>
      </w:tr>
      <w:tr w:rsidR="00DE5637" w14:paraId="524A9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52E7D9D9"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 xml:space="preserve">Quarterly Cash Flow Test (A) &gt;0, </w:t>
            </w:r>
            <w:r w:rsidRPr="00E863AD">
              <w:rPr>
                <w:rFonts w:ascii="Calibri" w:eastAsia="Calibri" w:hAnsi="Calibri" w:cs="Calibri"/>
                <w:b/>
                <w:color w:val="000000"/>
                <w:sz w:val="20"/>
                <w:lang w:val="en-US"/>
              </w:rPr>
              <w:t>AND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39D3CD0" w14:textId="77777777" w:rsidR="00DE5637" w:rsidRPr="00E863AD" w:rsidRDefault="00DE5637">
            <w:pPr>
              <w:spacing w:after="0" w:line="240" w:lineRule="auto"/>
              <w:jc w:val="right"/>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6232CF60"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Not eligible for dividend</w:t>
            </w:r>
          </w:p>
        </w:tc>
      </w:tr>
      <w:tr w:rsidR="00DE5637" w14:paraId="70686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11BFD6B3" w14:textId="77777777" w:rsidR="00DE5637" w:rsidRPr="00E863AD" w:rsidRDefault="005C5928">
            <w:pPr>
              <w:spacing w:after="0" w:line="240" w:lineRule="auto"/>
              <w:rPr>
                <w:rFonts w:ascii="Calibri" w:eastAsia="Calibri" w:hAnsi="Calibri" w:cs="Calibri"/>
                <w:color w:val="000000"/>
                <w:sz w:val="20"/>
                <w:lang w:val="en-US"/>
              </w:rPr>
            </w:pPr>
            <w:r w:rsidRPr="00E863AD">
              <w:rPr>
                <w:rFonts w:ascii="Calibri" w:eastAsia="Calibri" w:hAnsi="Calibri" w:cs="Calibri"/>
                <w:color w:val="000000"/>
                <w:sz w:val="20"/>
                <w:lang w:val="en-US"/>
              </w:rPr>
              <w:t>Quarter-End Excess Cash Test (B) &gt;0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9C5524" w14:textId="77777777" w:rsidR="00DE5637" w:rsidRPr="00E863AD" w:rsidRDefault="00DE5637">
            <w:pPr>
              <w:spacing w:after="0" w:line="240" w:lineRule="auto"/>
              <w:jc w:val="right"/>
              <w:rPr>
                <w:rFonts w:ascii="Calibri" w:eastAsia="Calibri" w:hAnsi="Calibri" w:cs="Calibri"/>
                <w:color w:val="000000"/>
                <w:sz w:val="20"/>
                <w:lang w:val="en-US"/>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37AFDD4" w14:textId="77777777" w:rsidR="00DE5637" w:rsidRDefault="005C5928">
            <w:pPr>
              <w:spacing w:after="0" w:line="240" w:lineRule="auto"/>
              <w:rPr>
                <w:rFonts w:ascii="Calibri" w:eastAsia="Calibri" w:hAnsi="Calibri" w:cs="Calibri"/>
                <w:color w:val="000000"/>
                <w:sz w:val="20"/>
              </w:rPr>
            </w:pPr>
            <w:r>
              <w:rPr>
                <w:rFonts w:ascii="Calibri" w:eastAsia="Calibri" w:hAnsi="Calibri" w:cs="Calibri"/>
                <w:color w:val="000000"/>
                <w:sz w:val="20"/>
              </w:rPr>
              <w:t>Eligible for dividend</w:t>
            </w:r>
          </w:p>
        </w:tc>
      </w:tr>
      <w:tr w:rsidR="00DE5637" w14:paraId="00C50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703FE722" w14:textId="77777777" w:rsidR="00DE5637" w:rsidRPr="00E863AD" w:rsidRDefault="005C5928">
            <w:pPr>
              <w:spacing w:after="0" w:line="240" w:lineRule="auto"/>
              <w:rPr>
                <w:rFonts w:ascii="Calibri" w:eastAsia="Calibri" w:hAnsi="Calibri" w:cs="Calibri"/>
                <w:b/>
                <w:color w:val="000000"/>
                <w:sz w:val="20"/>
                <w:lang w:val="en-US"/>
              </w:rPr>
            </w:pPr>
            <w:r w:rsidRPr="00E863AD">
              <w:rPr>
                <w:rFonts w:ascii="Calibri" w:eastAsia="Calibri" w:hAnsi="Calibri" w:cs="Calibri"/>
                <w:b/>
                <w:color w:val="000000"/>
                <w:sz w:val="20"/>
                <w:lang w:val="en-US"/>
              </w:rPr>
              <w:t>Cash Available for Dividend, lower (A) or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E92E6EE"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44B221BC" w14:textId="77777777" w:rsidR="00DE5637" w:rsidRDefault="005C5928">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DE5637" w14:paraId="18017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2243F9CF"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4D348E1"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Payout ratio</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89F9413" w14:textId="77777777" w:rsidR="00DE5637" w:rsidRDefault="00DE5637">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single" w:sz="4" w:space="0" w:color="000000"/>
              <w:right w:val="nil"/>
              <w:tl2br w:val="nil"/>
              <w:tr2bl w:val="nil"/>
            </w:tcBorders>
            <w:shd w:val="clear" w:color="auto" w:fill="auto"/>
            <w:noWrap/>
            <w:tcMar>
              <w:left w:w="40" w:type="dxa"/>
              <w:right w:w="40" w:type="dxa"/>
            </w:tcMar>
            <w:vAlign w:val="bottom"/>
          </w:tcPr>
          <w:p w14:paraId="7D008529" w14:textId="77777777" w:rsidR="00DE5637" w:rsidRDefault="005C5928">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50%</w:t>
            </w:r>
          </w:p>
        </w:tc>
      </w:tr>
      <w:tr w:rsidR="00DE5637" w14:paraId="58A37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C921E05" w14:textId="77777777" w:rsidR="00DE5637" w:rsidRDefault="005C5928">
            <w:pPr>
              <w:spacing w:after="0" w:line="240" w:lineRule="auto"/>
              <w:rPr>
                <w:rFonts w:ascii="Calibri" w:eastAsia="Calibri" w:hAnsi="Calibri" w:cs="Calibri"/>
                <w:b/>
                <w:color w:val="000000"/>
                <w:sz w:val="20"/>
              </w:rPr>
            </w:pPr>
            <w:r>
              <w:rPr>
                <w:rFonts w:ascii="Calibri" w:eastAsia="Calibri" w:hAnsi="Calibri" w:cs="Calibri"/>
                <w:b/>
                <w:color w:val="000000"/>
                <w:sz w:val="20"/>
              </w:rPr>
              <w:t>Quarterly Dividend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C966128" w14:textId="77777777" w:rsidR="00DE5637" w:rsidRDefault="005C5928">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101A3658" w14:textId="77777777" w:rsidR="00DE5637" w:rsidRDefault="005C5928">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DE5637" w14:paraId="49C192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11FD775C" w14:textId="77777777" w:rsidR="00DE5637" w:rsidRDefault="00DE56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3D8B7AC" w14:textId="77777777" w:rsidR="00DE5637" w:rsidRDefault="00DE56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0B249D" w14:textId="77777777" w:rsidR="00DE5637" w:rsidRDefault="00DE5637">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028880CB" w14:textId="77777777" w:rsidR="00DE5637" w:rsidRDefault="00DE5637">
            <w:pPr>
              <w:spacing w:after="0" w:line="240" w:lineRule="auto"/>
              <w:rPr>
                <w:rFonts w:ascii="Calibri" w:eastAsia="Calibri" w:hAnsi="Calibri" w:cs="Calibri"/>
                <w:color w:val="000000"/>
                <w:sz w:val="20"/>
              </w:rPr>
            </w:pPr>
          </w:p>
        </w:tc>
      </w:tr>
    </w:tbl>
    <w:p w14:paraId="221D755E" w14:textId="77777777" w:rsidR="00DE5637" w:rsidRDefault="00DE5637">
      <w:pPr>
        <w:spacing w:after="0" w:line="240" w:lineRule="auto"/>
        <w:rPr>
          <w:rFonts w:cs="Calibri"/>
        </w:rPr>
      </w:pPr>
    </w:p>
    <w:p w14:paraId="5F2C6B37" w14:textId="77777777" w:rsidR="000A2F9A" w:rsidRDefault="005C5928"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14:paraId="461A158A" w14:textId="77777777" w:rsidR="001F43BC" w:rsidRDefault="005C5928" w:rsidP="001F43BC">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Pr>
          <w:rFonts w:cs="Calibri"/>
          <w:sz w:val="20"/>
          <w:lang w:val="en-GB"/>
        </w:rPr>
        <w:t xml:space="preserve">General and administrative expenses, </w:t>
      </w:r>
      <w:r w:rsidR="005018AB">
        <w:rPr>
          <w:rFonts w:cs="Calibri"/>
          <w:sz w:val="20"/>
          <w:lang w:val="en-GB"/>
        </w:rPr>
        <w:t>for the purpose of calculating dividends</w:t>
      </w:r>
      <w:r>
        <w:rPr>
          <w:rFonts w:cs="Calibri"/>
          <w:sz w:val="20"/>
          <w:lang w:val="en-GB"/>
        </w:rPr>
        <w:t>,</w:t>
      </w:r>
      <w:r w:rsidR="005018AB">
        <w:rPr>
          <w:rFonts w:cs="Calibri"/>
          <w:sz w:val="20"/>
          <w:lang w:val="en-GB"/>
        </w:rPr>
        <w:t xml:space="preserve"> </w:t>
      </w:r>
      <w:r>
        <w:rPr>
          <w:rFonts w:cs="Calibri"/>
          <w:sz w:val="20"/>
          <w:lang w:val="en-GB"/>
        </w:rPr>
        <w:t>exclude non-cash items.</w:t>
      </w:r>
    </w:p>
    <w:p w14:paraId="71B932EF" w14:textId="77777777" w:rsidR="00F940D5" w:rsidRDefault="00F940D5" w:rsidP="00F940D5">
      <w:pPr>
        <w:pStyle w:val="ListParagraph"/>
        <w:tabs>
          <w:tab w:val="left" w:pos="-720"/>
          <w:tab w:val="left" w:pos="0"/>
        </w:tabs>
        <w:suppressAutoHyphens/>
        <w:spacing w:after="0" w:line="240" w:lineRule="auto"/>
        <w:jc w:val="both"/>
        <w:rPr>
          <w:rFonts w:cs="Calibri"/>
          <w:sz w:val="20"/>
          <w:lang w:val="en-GB"/>
        </w:rPr>
      </w:pPr>
    </w:p>
    <w:p w14:paraId="68E3F8ED" w14:textId="77777777" w:rsidR="001F43BC" w:rsidRDefault="005C5928" w:rsidP="00480F2F">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 xml:space="preserve">Replacement </w:t>
      </w:r>
      <w:r w:rsidR="00BC3F99" w:rsidRPr="00480F2F">
        <w:rPr>
          <w:rFonts w:cs="Calibri"/>
          <w:sz w:val="20"/>
          <w:lang w:val="en-GB"/>
        </w:rPr>
        <w:t>r</w:t>
      </w:r>
      <w:r w:rsidRPr="00480F2F">
        <w:rPr>
          <w:rFonts w:cs="Calibri"/>
          <w:sz w:val="20"/>
          <w:lang w:val="en-GB"/>
        </w:rPr>
        <w:t xml:space="preserve">eserves reflect the </w:t>
      </w:r>
      <w:r w:rsidR="00F04106">
        <w:rPr>
          <w:rFonts w:cs="Calibri"/>
          <w:sz w:val="20"/>
          <w:lang w:val="en-GB"/>
        </w:rPr>
        <w:t xml:space="preserve">aggregate </w:t>
      </w:r>
      <w:r>
        <w:rPr>
          <w:rFonts w:cs="Calibri"/>
          <w:sz w:val="20"/>
          <w:lang w:val="en-GB"/>
        </w:rPr>
        <w:t>annual amount of cash that the C</w:t>
      </w:r>
      <w:r w:rsidRPr="00480F2F">
        <w:rPr>
          <w:rFonts w:cs="Calibri"/>
          <w:sz w:val="20"/>
          <w:lang w:val="en-GB"/>
        </w:rPr>
        <w:t xml:space="preserve">ompany retains to fund the replacement of each of its vessels. In addition to the replacement reserve retained and reinvested at a certain </w:t>
      </w:r>
      <w:r w:rsidR="000D052B">
        <w:rPr>
          <w:rFonts w:cs="Calibri"/>
          <w:sz w:val="20"/>
          <w:lang w:val="en-GB"/>
        </w:rPr>
        <w:t xml:space="preserve">annual </w:t>
      </w:r>
      <w:r w:rsidRPr="00480F2F">
        <w:rPr>
          <w:rFonts w:cs="Calibri"/>
          <w:sz w:val="20"/>
          <w:lang w:val="en-GB"/>
        </w:rPr>
        <w:t xml:space="preserve">rate or </w:t>
      </w:r>
      <w:r>
        <w:rPr>
          <w:rFonts w:cs="Calibri"/>
          <w:sz w:val="20"/>
          <w:lang w:val="en-GB"/>
        </w:rPr>
        <w:t>equivalent debt repayment, the C</w:t>
      </w:r>
      <w:r w:rsidRPr="00480F2F">
        <w:rPr>
          <w:rFonts w:cs="Calibri"/>
          <w:sz w:val="20"/>
          <w:lang w:val="en-GB"/>
        </w:rPr>
        <w:t xml:space="preserve">ompany </w:t>
      </w:r>
      <w:r w:rsidR="00254CEB">
        <w:rPr>
          <w:rFonts w:cs="Calibri"/>
          <w:sz w:val="20"/>
          <w:lang w:val="en-GB"/>
        </w:rPr>
        <w:t>estimates</w:t>
      </w:r>
      <w:r w:rsidRPr="00480F2F">
        <w:rPr>
          <w:rFonts w:cs="Calibri"/>
          <w:sz w:val="20"/>
          <w:lang w:val="en-GB"/>
        </w:rPr>
        <w:t xml:space="preserve"> at the </w:t>
      </w:r>
      <w:r w:rsidR="00394050">
        <w:rPr>
          <w:rFonts w:cs="Calibri"/>
          <w:sz w:val="20"/>
          <w:lang w:val="en-GB"/>
        </w:rPr>
        <w:t xml:space="preserve">specific </w:t>
      </w:r>
      <w:r w:rsidRPr="00480F2F">
        <w:rPr>
          <w:rFonts w:cs="Calibri"/>
          <w:sz w:val="20"/>
          <w:lang w:val="en-GB"/>
        </w:rPr>
        <w:t>expected replacement date to utilize funds from the proceeds of the scrap value of the vessels and the assumption of a modest level of debt to purchase the replacement vessel assuming suc</w:t>
      </w:r>
      <w:r w:rsidR="00394050">
        <w:rPr>
          <w:rFonts w:cs="Calibri"/>
          <w:sz w:val="20"/>
          <w:lang w:val="en-GB"/>
        </w:rPr>
        <w:t>h replacement is for a ten-year-</w:t>
      </w:r>
      <w:r w:rsidRPr="00480F2F">
        <w:rPr>
          <w:rFonts w:cs="Calibri"/>
          <w:sz w:val="20"/>
          <w:lang w:val="en-GB"/>
        </w:rPr>
        <w:t>old vessel at</w:t>
      </w:r>
      <w:r>
        <w:rPr>
          <w:rFonts w:cs="Calibri"/>
          <w:sz w:val="20"/>
          <w:lang w:val="en-GB"/>
        </w:rPr>
        <w:t xml:space="preserve"> the ten-year</w:t>
      </w:r>
      <w:r w:rsidRPr="00480F2F">
        <w:rPr>
          <w:rFonts w:cs="Calibri"/>
          <w:sz w:val="20"/>
          <w:lang w:val="en-GB"/>
        </w:rPr>
        <w:t xml:space="preserve"> historica</w:t>
      </w:r>
      <w:r w:rsidR="00BC3F99" w:rsidRPr="00480F2F">
        <w:rPr>
          <w:rFonts w:cs="Calibri"/>
          <w:sz w:val="20"/>
          <w:lang w:val="en-GB"/>
        </w:rPr>
        <w:t xml:space="preserve">l mid-cycle value. </w:t>
      </w:r>
    </w:p>
    <w:p w14:paraId="0CD190EA" w14:textId="77777777" w:rsidR="00480F2F" w:rsidRPr="00480F2F" w:rsidRDefault="00480F2F" w:rsidP="00480F2F">
      <w:pPr>
        <w:pStyle w:val="ListParagraph"/>
        <w:rPr>
          <w:rFonts w:cs="Calibri"/>
          <w:sz w:val="20"/>
          <w:lang w:val="en-GB"/>
        </w:rPr>
      </w:pPr>
    </w:p>
    <w:p w14:paraId="5EB11B4D" w14:textId="77777777" w:rsidR="004063E7" w:rsidRPr="00480F2F" w:rsidRDefault="005C5928" w:rsidP="00480F2F">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Maintenance r</w:t>
      </w:r>
      <w:r w:rsidR="001A0DEF" w:rsidRPr="00480F2F">
        <w:rPr>
          <w:rFonts w:cs="Calibri"/>
          <w:sz w:val="20"/>
          <w:lang w:val="en-GB"/>
        </w:rPr>
        <w:t xml:space="preserve">eserves are based on an estimated cost for the </w:t>
      </w:r>
      <w:proofErr w:type="spellStart"/>
      <w:r w:rsidR="001A0DEF" w:rsidRPr="00480F2F">
        <w:rPr>
          <w:rFonts w:cs="Calibri"/>
          <w:sz w:val="20"/>
          <w:lang w:val="en-GB"/>
        </w:rPr>
        <w:t>drydock</w:t>
      </w:r>
      <w:proofErr w:type="spellEnd"/>
      <w:r w:rsidR="001A0DEF" w:rsidRPr="00480F2F">
        <w:rPr>
          <w:rFonts w:cs="Calibri"/>
          <w:sz w:val="20"/>
          <w:lang w:val="en-GB"/>
        </w:rPr>
        <w:t>, intermediate and special surveys of the vessels in our fleet over the recurring statutory five</w:t>
      </w:r>
      <w:r>
        <w:rPr>
          <w:rFonts w:cs="Calibri"/>
          <w:sz w:val="20"/>
          <w:lang w:val="en-GB"/>
        </w:rPr>
        <w:t>-</w:t>
      </w:r>
      <w:r w:rsidR="001A0DEF" w:rsidRPr="00480F2F">
        <w:rPr>
          <w:rFonts w:cs="Calibri"/>
          <w:sz w:val="20"/>
          <w:lang w:val="en-GB"/>
        </w:rPr>
        <w:t>year survey period. They are used, instead of actual maintenance costs when incurred, for purposes of calculating</w:t>
      </w:r>
      <w:r>
        <w:rPr>
          <w:rFonts w:cs="Calibri"/>
          <w:sz w:val="20"/>
          <w:lang w:val="en-GB"/>
        </w:rPr>
        <w:t xml:space="preserve"> the quarterly dividend </w:t>
      </w:r>
      <w:r w:rsidR="001A0DEF" w:rsidRPr="00480F2F">
        <w:rPr>
          <w:rFonts w:cs="Calibri"/>
          <w:sz w:val="20"/>
          <w:lang w:val="en-GB"/>
        </w:rPr>
        <w:t xml:space="preserve">to remove the additional cash flow variability during quarters that </w:t>
      </w:r>
      <w:proofErr w:type="spellStart"/>
      <w:r w:rsidR="001A0DEF" w:rsidRPr="00480F2F">
        <w:rPr>
          <w:rFonts w:cs="Calibri"/>
          <w:sz w:val="20"/>
          <w:lang w:val="en-GB"/>
        </w:rPr>
        <w:t>drydocks</w:t>
      </w:r>
      <w:proofErr w:type="spellEnd"/>
      <w:r w:rsidR="001A0DEF" w:rsidRPr="00480F2F">
        <w:rPr>
          <w:rFonts w:cs="Calibri"/>
          <w:sz w:val="20"/>
          <w:lang w:val="en-GB"/>
        </w:rPr>
        <w:t xml:space="preserve"> occur. </w:t>
      </w:r>
    </w:p>
    <w:p w14:paraId="4B713EF3" w14:textId="77777777" w:rsidR="00E37DCD" w:rsidRPr="004063E7" w:rsidRDefault="00E37DCD" w:rsidP="004063E7">
      <w:pPr>
        <w:tabs>
          <w:tab w:val="left" w:pos="-720"/>
          <w:tab w:val="left" w:pos="0"/>
        </w:tabs>
        <w:suppressAutoHyphens/>
        <w:spacing w:after="0" w:line="240" w:lineRule="auto"/>
        <w:jc w:val="both"/>
        <w:rPr>
          <w:rFonts w:cs="Calibri"/>
          <w:sz w:val="20"/>
          <w:lang w:val="en-GB"/>
        </w:rPr>
      </w:pPr>
    </w:p>
    <w:p w14:paraId="5288D248" w14:textId="77777777" w:rsidR="00E37DCD" w:rsidRDefault="00E37DCD" w:rsidP="00E37DCD">
      <w:pPr>
        <w:pStyle w:val="ListParagraph"/>
        <w:tabs>
          <w:tab w:val="left" w:pos="-720"/>
          <w:tab w:val="left" w:pos="0"/>
        </w:tabs>
        <w:suppressAutoHyphens/>
        <w:spacing w:after="0" w:line="240" w:lineRule="auto"/>
        <w:jc w:val="both"/>
        <w:rPr>
          <w:rFonts w:cs="Calibri"/>
          <w:sz w:val="20"/>
          <w:lang w:val="en-GB"/>
        </w:rPr>
      </w:pPr>
    </w:p>
    <w:sectPr w:rsidR="00E37DCD" w:rsidSect="009519B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76" w:right="720" w:bottom="576" w:left="720" w:header="720" w:footer="72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45591" w14:textId="77777777" w:rsidR="007E7F30" w:rsidRDefault="007E7F30">
      <w:pPr>
        <w:spacing w:after="0" w:line="240" w:lineRule="auto"/>
      </w:pPr>
      <w:r>
        <w:separator/>
      </w:r>
    </w:p>
  </w:endnote>
  <w:endnote w:type="continuationSeparator" w:id="0">
    <w:p w14:paraId="1B65836C" w14:textId="77777777" w:rsidR="007E7F30" w:rsidRDefault="007E7F30">
      <w:pPr>
        <w:spacing w:after="0" w:line="240" w:lineRule="auto"/>
      </w:pPr>
      <w:r>
        <w:continuationSeparator/>
      </w:r>
    </w:p>
  </w:endnote>
  <w:endnote w:type="continuationNotice" w:id="1">
    <w:p w14:paraId="74687590" w14:textId="77777777" w:rsidR="007E7F30" w:rsidRDefault="007E7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7774" w14:textId="77777777" w:rsidR="00C940EE" w:rsidRPr="00325C7D" w:rsidRDefault="00C940EE"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Pr>
        <w:rFonts w:cs="Calibri"/>
        <w:noProof/>
        <w:bdr w:val="nil"/>
      </w:rPr>
      <w:t>1</w:t>
    </w:r>
    <w:r>
      <w:rPr>
        <w:rFonts w:cs="Calibri"/>
        <w:bdr w:val="ni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10031" w14:textId="77777777" w:rsidR="00C940EE" w:rsidRPr="00325C7D" w:rsidRDefault="00C940EE"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sidR="00B762BD">
      <w:rPr>
        <w:rFonts w:cs="Calibri"/>
        <w:noProof/>
        <w:bdr w:val="nil"/>
      </w:rPr>
      <w:t>3</w:t>
    </w:r>
    <w:r>
      <w:rPr>
        <w:rFonts w:cs="Calibri"/>
        <w:bdr w:val="ni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135F" w14:textId="77777777" w:rsidR="00B42C96" w:rsidRDefault="00B42C96">
    <w:pPr>
      <w:pStyle w:val="Footer"/>
      <w:pPrChange w:id="4" w:author="Ed" w:date="2021-03-05T08:43:00Z">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B624D" w14:textId="77777777" w:rsidR="007E7F30" w:rsidRDefault="007E7F30">
      <w:pPr>
        <w:spacing w:after="0" w:line="240" w:lineRule="auto"/>
      </w:pPr>
      <w:r>
        <w:separator/>
      </w:r>
    </w:p>
  </w:footnote>
  <w:footnote w:type="continuationSeparator" w:id="0">
    <w:p w14:paraId="7B32ED79" w14:textId="77777777" w:rsidR="007E7F30" w:rsidRDefault="007E7F30">
      <w:pPr>
        <w:spacing w:after="0" w:line="240" w:lineRule="auto"/>
      </w:pPr>
      <w:r>
        <w:continuationSeparator/>
      </w:r>
    </w:p>
  </w:footnote>
  <w:footnote w:type="continuationNotice" w:id="1">
    <w:p w14:paraId="3B692562" w14:textId="77777777" w:rsidR="007E7F30" w:rsidRDefault="007E7F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80479" w14:textId="77777777" w:rsidR="00C940EE" w:rsidRDefault="00C940EE">
    <w:pPr>
      <w:suppressLineNumbers/>
      <w:spacing w:after="0" w:line="14" w:lineRule="exact"/>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C44A" w14:textId="77777777" w:rsidR="00C940EE" w:rsidRDefault="00C940EE">
    <w:pPr>
      <w:suppressLineNumbers/>
      <w:spacing w:after="0" w:line="14" w:lineRule="exact"/>
      <w:contextual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A644" w14:textId="77777777" w:rsidR="00B42C96" w:rsidRDefault="00B42C96">
    <w:pPr>
      <w:pStyle w:val="Header"/>
      <w:pPrChange w:id="3" w:author="Ed" w:date="2021-03-05T08:43:00Z">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55C"/>
    <w:multiLevelType w:val="hybridMultilevel"/>
    <w:tmpl w:val="3C5ADAE8"/>
    <w:lvl w:ilvl="0" w:tplc="48323642">
      <w:start w:val="1"/>
      <w:numFmt w:val="bullet"/>
      <w:lvlText w:val=""/>
      <w:lvlJc w:val="left"/>
      <w:pPr>
        <w:ind w:left="720" w:hanging="360"/>
      </w:pPr>
      <w:rPr>
        <w:rFonts w:ascii="Symbol" w:hAnsi="Symbol" w:hint="default"/>
      </w:rPr>
    </w:lvl>
    <w:lvl w:ilvl="1" w:tplc="DCE2505A" w:tentative="1">
      <w:start w:val="1"/>
      <w:numFmt w:val="bullet"/>
      <w:lvlText w:val="o"/>
      <w:lvlJc w:val="left"/>
      <w:pPr>
        <w:ind w:left="1440" w:hanging="360"/>
      </w:pPr>
      <w:rPr>
        <w:rFonts w:ascii="Courier New" w:hAnsi="Courier New" w:hint="default"/>
      </w:rPr>
    </w:lvl>
    <w:lvl w:ilvl="2" w:tplc="244CBBD0" w:tentative="1">
      <w:start w:val="1"/>
      <w:numFmt w:val="bullet"/>
      <w:lvlText w:val=""/>
      <w:lvlJc w:val="left"/>
      <w:pPr>
        <w:ind w:left="2160" w:hanging="360"/>
      </w:pPr>
      <w:rPr>
        <w:rFonts w:ascii="Wingdings" w:hAnsi="Wingdings" w:hint="default"/>
      </w:rPr>
    </w:lvl>
    <w:lvl w:ilvl="3" w:tplc="A6E4055A" w:tentative="1">
      <w:start w:val="1"/>
      <w:numFmt w:val="bullet"/>
      <w:lvlText w:val=""/>
      <w:lvlJc w:val="left"/>
      <w:pPr>
        <w:ind w:left="2880" w:hanging="360"/>
      </w:pPr>
      <w:rPr>
        <w:rFonts w:ascii="Symbol" w:hAnsi="Symbol" w:hint="default"/>
      </w:rPr>
    </w:lvl>
    <w:lvl w:ilvl="4" w:tplc="C5A6E47C" w:tentative="1">
      <w:start w:val="1"/>
      <w:numFmt w:val="bullet"/>
      <w:lvlText w:val="o"/>
      <w:lvlJc w:val="left"/>
      <w:pPr>
        <w:ind w:left="3600" w:hanging="360"/>
      </w:pPr>
      <w:rPr>
        <w:rFonts w:ascii="Courier New" w:hAnsi="Courier New" w:hint="default"/>
      </w:rPr>
    </w:lvl>
    <w:lvl w:ilvl="5" w:tplc="17EC1774" w:tentative="1">
      <w:start w:val="1"/>
      <w:numFmt w:val="bullet"/>
      <w:lvlText w:val=""/>
      <w:lvlJc w:val="left"/>
      <w:pPr>
        <w:ind w:left="4320" w:hanging="360"/>
      </w:pPr>
      <w:rPr>
        <w:rFonts w:ascii="Wingdings" w:hAnsi="Wingdings" w:hint="default"/>
      </w:rPr>
    </w:lvl>
    <w:lvl w:ilvl="6" w:tplc="261C8470" w:tentative="1">
      <w:start w:val="1"/>
      <w:numFmt w:val="bullet"/>
      <w:lvlText w:val=""/>
      <w:lvlJc w:val="left"/>
      <w:pPr>
        <w:ind w:left="5040" w:hanging="360"/>
      </w:pPr>
      <w:rPr>
        <w:rFonts w:ascii="Symbol" w:hAnsi="Symbol" w:hint="default"/>
      </w:rPr>
    </w:lvl>
    <w:lvl w:ilvl="7" w:tplc="1AFCAECE" w:tentative="1">
      <w:start w:val="1"/>
      <w:numFmt w:val="bullet"/>
      <w:lvlText w:val="o"/>
      <w:lvlJc w:val="left"/>
      <w:pPr>
        <w:ind w:left="5760" w:hanging="360"/>
      </w:pPr>
      <w:rPr>
        <w:rFonts w:ascii="Courier New" w:hAnsi="Courier New" w:hint="default"/>
      </w:rPr>
    </w:lvl>
    <w:lvl w:ilvl="8" w:tplc="A962B0EC" w:tentative="1">
      <w:start w:val="1"/>
      <w:numFmt w:val="bullet"/>
      <w:lvlText w:val=""/>
      <w:lvlJc w:val="left"/>
      <w:pPr>
        <w:ind w:left="6480" w:hanging="360"/>
      </w:pPr>
      <w:rPr>
        <w:rFonts w:ascii="Wingdings" w:hAnsi="Wingdings" w:hint="default"/>
      </w:rPr>
    </w:lvl>
  </w:abstractNum>
  <w:abstractNum w:abstractNumId="1">
    <w:nsid w:val="240F0E34"/>
    <w:multiLevelType w:val="hybridMultilevel"/>
    <w:tmpl w:val="55A65A5E"/>
    <w:lvl w:ilvl="0" w:tplc="81E22AFA">
      <w:start w:val="1"/>
      <w:numFmt w:val="decimal"/>
      <w:lvlText w:val="(%1)"/>
      <w:lvlJc w:val="left"/>
      <w:pPr>
        <w:ind w:left="720" w:hanging="360"/>
      </w:pPr>
      <w:rPr>
        <w:rFonts w:cs="Calibri" w:hint="default"/>
        <w:sz w:val="20"/>
      </w:rPr>
    </w:lvl>
    <w:lvl w:ilvl="1" w:tplc="1ED2BE94" w:tentative="1">
      <w:start w:val="1"/>
      <w:numFmt w:val="lowerLetter"/>
      <w:lvlText w:val="%2."/>
      <w:lvlJc w:val="left"/>
      <w:pPr>
        <w:ind w:left="1440" w:hanging="360"/>
      </w:pPr>
    </w:lvl>
    <w:lvl w:ilvl="2" w:tplc="B3A089FE" w:tentative="1">
      <w:start w:val="1"/>
      <w:numFmt w:val="lowerRoman"/>
      <w:lvlText w:val="%3."/>
      <w:lvlJc w:val="right"/>
      <w:pPr>
        <w:ind w:left="2160" w:hanging="180"/>
      </w:pPr>
    </w:lvl>
    <w:lvl w:ilvl="3" w:tplc="453C610A" w:tentative="1">
      <w:start w:val="1"/>
      <w:numFmt w:val="decimal"/>
      <w:lvlText w:val="%4."/>
      <w:lvlJc w:val="left"/>
      <w:pPr>
        <w:ind w:left="2880" w:hanging="360"/>
      </w:pPr>
    </w:lvl>
    <w:lvl w:ilvl="4" w:tplc="49B04ABA" w:tentative="1">
      <w:start w:val="1"/>
      <w:numFmt w:val="lowerLetter"/>
      <w:lvlText w:val="%5."/>
      <w:lvlJc w:val="left"/>
      <w:pPr>
        <w:ind w:left="3600" w:hanging="360"/>
      </w:pPr>
    </w:lvl>
    <w:lvl w:ilvl="5" w:tplc="37E6CA9C" w:tentative="1">
      <w:start w:val="1"/>
      <w:numFmt w:val="lowerRoman"/>
      <w:lvlText w:val="%6."/>
      <w:lvlJc w:val="right"/>
      <w:pPr>
        <w:ind w:left="4320" w:hanging="180"/>
      </w:pPr>
    </w:lvl>
    <w:lvl w:ilvl="6" w:tplc="376A3C1E" w:tentative="1">
      <w:start w:val="1"/>
      <w:numFmt w:val="decimal"/>
      <w:lvlText w:val="%7."/>
      <w:lvlJc w:val="left"/>
      <w:pPr>
        <w:ind w:left="5040" w:hanging="360"/>
      </w:pPr>
    </w:lvl>
    <w:lvl w:ilvl="7" w:tplc="BE124AF4" w:tentative="1">
      <w:start w:val="1"/>
      <w:numFmt w:val="lowerLetter"/>
      <w:lvlText w:val="%8."/>
      <w:lvlJc w:val="left"/>
      <w:pPr>
        <w:ind w:left="5760" w:hanging="360"/>
      </w:pPr>
    </w:lvl>
    <w:lvl w:ilvl="8" w:tplc="C032F88E" w:tentative="1">
      <w:start w:val="1"/>
      <w:numFmt w:val="lowerRoman"/>
      <w:lvlText w:val="%9."/>
      <w:lvlJc w:val="right"/>
      <w:pPr>
        <w:ind w:left="6480" w:hanging="180"/>
      </w:pPr>
    </w:lvl>
  </w:abstractNum>
  <w:abstractNum w:abstractNumId="2">
    <w:nsid w:val="5D077A83"/>
    <w:multiLevelType w:val="hybridMultilevel"/>
    <w:tmpl w:val="55A65A5E"/>
    <w:lvl w:ilvl="0" w:tplc="AF864FDE">
      <w:start w:val="1"/>
      <w:numFmt w:val="decimal"/>
      <w:lvlText w:val="(%1)"/>
      <w:lvlJc w:val="left"/>
      <w:pPr>
        <w:ind w:left="720" w:hanging="360"/>
      </w:pPr>
      <w:rPr>
        <w:rFonts w:cs="Calibri" w:hint="default"/>
        <w:sz w:val="20"/>
      </w:rPr>
    </w:lvl>
    <w:lvl w:ilvl="1" w:tplc="4E2A316C" w:tentative="1">
      <w:start w:val="1"/>
      <w:numFmt w:val="lowerLetter"/>
      <w:lvlText w:val="%2."/>
      <w:lvlJc w:val="left"/>
      <w:pPr>
        <w:ind w:left="1440" w:hanging="360"/>
      </w:pPr>
    </w:lvl>
    <w:lvl w:ilvl="2" w:tplc="8370F6C8" w:tentative="1">
      <w:start w:val="1"/>
      <w:numFmt w:val="lowerRoman"/>
      <w:lvlText w:val="%3."/>
      <w:lvlJc w:val="right"/>
      <w:pPr>
        <w:ind w:left="2160" w:hanging="180"/>
      </w:pPr>
    </w:lvl>
    <w:lvl w:ilvl="3" w:tplc="EC88D7F2" w:tentative="1">
      <w:start w:val="1"/>
      <w:numFmt w:val="decimal"/>
      <w:lvlText w:val="%4."/>
      <w:lvlJc w:val="left"/>
      <w:pPr>
        <w:ind w:left="2880" w:hanging="360"/>
      </w:pPr>
    </w:lvl>
    <w:lvl w:ilvl="4" w:tplc="1DC441EC" w:tentative="1">
      <w:start w:val="1"/>
      <w:numFmt w:val="lowerLetter"/>
      <w:lvlText w:val="%5."/>
      <w:lvlJc w:val="left"/>
      <w:pPr>
        <w:ind w:left="3600" w:hanging="360"/>
      </w:pPr>
    </w:lvl>
    <w:lvl w:ilvl="5" w:tplc="566A9FDA" w:tentative="1">
      <w:start w:val="1"/>
      <w:numFmt w:val="lowerRoman"/>
      <w:lvlText w:val="%6."/>
      <w:lvlJc w:val="right"/>
      <w:pPr>
        <w:ind w:left="4320" w:hanging="180"/>
      </w:pPr>
    </w:lvl>
    <w:lvl w:ilvl="6" w:tplc="1B6A0C36" w:tentative="1">
      <w:start w:val="1"/>
      <w:numFmt w:val="decimal"/>
      <w:lvlText w:val="%7."/>
      <w:lvlJc w:val="left"/>
      <w:pPr>
        <w:ind w:left="5040" w:hanging="360"/>
      </w:pPr>
    </w:lvl>
    <w:lvl w:ilvl="7" w:tplc="EFD2E11C" w:tentative="1">
      <w:start w:val="1"/>
      <w:numFmt w:val="lowerLetter"/>
      <w:lvlText w:val="%8."/>
      <w:lvlJc w:val="left"/>
      <w:pPr>
        <w:ind w:left="5760" w:hanging="360"/>
      </w:pPr>
    </w:lvl>
    <w:lvl w:ilvl="8" w:tplc="838622DC"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lberberg, Filana">
    <w15:presenceInfo w15:providerId="AD" w15:userId="S-1-5-21-41242013-1578655520-1928362250-3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xNDY3MzY0MzM1MTFT0lEKTi0uzszPAykwqQUAYX/S+CwAAAA="/>
    <w:docVar w:name="zzmp10NoTrailerPromptID" w:val="Active.8820419.1"/>
  </w:docVars>
  <w:rsids>
    <w:rsidRoot w:val="009E46DE"/>
    <w:rsid w:val="00000599"/>
    <w:rsid w:val="000006D9"/>
    <w:rsid w:val="0001605A"/>
    <w:rsid w:val="00025225"/>
    <w:rsid w:val="0002745B"/>
    <w:rsid w:val="000274E0"/>
    <w:rsid w:val="00035FE5"/>
    <w:rsid w:val="0003691E"/>
    <w:rsid w:val="00051009"/>
    <w:rsid w:val="000512BA"/>
    <w:rsid w:val="000523B8"/>
    <w:rsid w:val="00056535"/>
    <w:rsid w:val="00056D76"/>
    <w:rsid w:val="00057A1E"/>
    <w:rsid w:val="000604A9"/>
    <w:rsid w:val="0007366A"/>
    <w:rsid w:val="000A1807"/>
    <w:rsid w:val="000A23EE"/>
    <w:rsid w:val="000A2F9A"/>
    <w:rsid w:val="000A7ABE"/>
    <w:rsid w:val="000C50A2"/>
    <w:rsid w:val="000D052B"/>
    <w:rsid w:val="000E1180"/>
    <w:rsid w:val="000E70C7"/>
    <w:rsid w:val="000F18BD"/>
    <w:rsid w:val="000F1F05"/>
    <w:rsid w:val="0010334C"/>
    <w:rsid w:val="0010474D"/>
    <w:rsid w:val="00113AD1"/>
    <w:rsid w:val="00114E1F"/>
    <w:rsid w:val="00124180"/>
    <w:rsid w:val="00127902"/>
    <w:rsid w:val="00135ACB"/>
    <w:rsid w:val="0013625F"/>
    <w:rsid w:val="00147676"/>
    <w:rsid w:val="00156B3A"/>
    <w:rsid w:val="00164D01"/>
    <w:rsid w:val="00176B8C"/>
    <w:rsid w:val="001918B4"/>
    <w:rsid w:val="001A0DEF"/>
    <w:rsid w:val="001A1668"/>
    <w:rsid w:val="001B1F07"/>
    <w:rsid w:val="001B3181"/>
    <w:rsid w:val="001B5120"/>
    <w:rsid w:val="001B7402"/>
    <w:rsid w:val="001C6D48"/>
    <w:rsid w:val="001C7A73"/>
    <w:rsid w:val="001D03CE"/>
    <w:rsid w:val="001D4FC4"/>
    <w:rsid w:val="001D64F5"/>
    <w:rsid w:val="001F04D7"/>
    <w:rsid w:val="001F39FE"/>
    <w:rsid w:val="001F43BC"/>
    <w:rsid w:val="00203168"/>
    <w:rsid w:val="00211247"/>
    <w:rsid w:val="0021165B"/>
    <w:rsid w:val="00213B72"/>
    <w:rsid w:val="00215ECE"/>
    <w:rsid w:val="002277FF"/>
    <w:rsid w:val="00230022"/>
    <w:rsid w:val="0024014E"/>
    <w:rsid w:val="00246B53"/>
    <w:rsid w:val="002522ED"/>
    <w:rsid w:val="00252EFD"/>
    <w:rsid w:val="00254CEB"/>
    <w:rsid w:val="002607F2"/>
    <w:rsid w:val="0026630A"/>
    <w:rsid w:val="0028139C"/>
    <w:rsid w:val="002914C3"/>
    <w:rsid w:val="002920E9"/>
    <w:rsid w:val="002A37E6"/>
    <w:rsid w:val="002B2AD4"/>
    <w:rsid w:val="002B59A7"/>
    <w:rsid w:val="002C1003"/>
    <w:rsid w:val="002E2232"/>
    <w:rsid w:val="002E33A1"/>
    <w:rsid w:val="002E55DD"/>
    <w:rsid w:val="002E66CA"/>
    <w:rsid w:val="002F0860"/>
    <w:rsid w:val="002F0D05"/>
    <w:rsid w:val="002F6B6F"/>
    <w:rsid w:val="002F7497"/>
    <w:rsid w:val="00310592"/>
    <w:rsid w:val="00314B5E"/>
    <w:rsid w:val="00325C7D"/>
    <w:rsid w:val="003277BB"/>
    <w:rsid w:val="00336B19"/>
    <w:rsid w:val="00363636"/>
    <w:rsid w:val="00380165"/>
    <w:rsid w:val="00394050"/>
    <w:rsid w:val="003A696D"/>
    <w:rsid w:val="003B7068"/>
    <w:rsid w:val="003C253A"/>
    <w:rsid w:val="003C7962"/>
    <w:rsid w:val="003C7B19"/>
    <w:rsid w:val="003E3298"/>
    <w:rsid w:val="003F133C"/>
    <w:rsid w:val="003F2675"/>
    <w:rsid w:val="003F4C7C"/>
    <w:rsid w:val="003F6911"/>
    <w:rsid w:val="004063E7"/>
    <w:rsid w:val="00412511"/>
    <w:rsid w:val="00415112"/>
    <w:rsid w:val="00415DAD"/>
    <w:rsid w:val="0042119D"/>
    <w:rsid w:val="00434F2F"/>
    <w:rsid w:val="0043592B"/>
    <w:rsid w:val="0044206D"/>
    <w:rsid w:val="004519CB"/>
    <w:rsid w:val="00456147"/>
    <w:rsid w:val="00461BBF"/>
    <w:rsid w:val="004641A2"/>
    <w:rsid w:val="00467FB1"/>
    <w:rsid w:val="0047391A"/>
    <w:rsid w:val="00480F2F"/>
    <w:rsid w:val="00491B41"/>
    <w:rsid w:val="0049797D"/>
    <w:rsid w:val="004A1DC8"/>
    <w:rsid w:val="004A580F"/>
    <w:rsid w:val="004A6E53"/>
    <w:rsid w:val="004A72E2"/>
    <w:rsid w:val="004B068E"/>
    <w:rsid w:val="004B61E2"/>
    <w:rsid w:val="004C1B98"/>
    <w:rsid w:val="004C4E63"/>
    <w:rsid w:val="004D4F3D"/>
    <w:rsid w:val="005018AB"/>
    <w:rsid w:val="0050467E"/>
    <w:rsid w:val="005213D7"/>
    <w:rsid w:val="005247EF"/>
    <w:rsid w:val="00545420"/>
    <w:rsid w:val="0055653A"/>
    <w:rsid w:val="00557B6D"/>
    <w:rsid w:val="00563F24"/>
    <w:rsid w:val="005742E8"/>
    <w:rsid w:val="00574C1D"/>
    <w:rsid w:val="00581505"/>
    <w:rsid w:val="00582B49"/>
    <w:rsid w:val="005A44E4"/>
    <w:rsid w:val="005B61B6"/>
    <w:rsid w:val="005B6A1E"/>
    <w:rsid w:val="005C3BEE"/>
    <w:rsid w:val="005C3EF0"/>
    <w:rsid w:val="005C44B1"/>
    <w:rsid w:val="005C4F33"/>
    <w:rsid w:val="005C5928"/>
    <w:rsid w:val="005D4223"/>
    <w:rsid w:val="005E0C9C"/>
    <w:rsid w:val="005F5DF4"/>
    <w:rsid w:val="006035E9"/>
    <w:rsid w:val="0060383B"/>
    <w:rsid w:val="006133E8"/>
    <w:rsid w:val="006160B2"/>
    <w:rsid w:val="0062046C"/>
    <w:rsid w:val="006227AC"/>
    <w:rsid w:val="00623161"/>
    <w:rsid w:val="0062471C"/>
    <w:rsid w:val="00627236"/>
    <w:rsid w:val="0063352F"/>
    <w:rsid w:val="00637977"/>
    <w:rsid w:val="00643FC8"/>
    <w:rsid w:val="00662C6D"/>
    <w:rsid w:val="00667655"/>
    <w:rsid w:val="006772AC"/>
    <w:rsid w:val="00691F00"/>
    <w:rsid w:val="006938C5"/>
    <w:rsid w:val="006A610B"/>
    <w:rsid w:val="006B68A8"/>
    <w:rsid w:val="006D6DAE"/>
    <w:rsid w:val="006F2094"/>
    <w:rsid w:val="006F3708"/>
    <w:rsid w:val="006F52AC"/>
    <w:rsid w:val="00704ABA"/>
    <w:rsid w:val="007247FD"/>
    <w:rsid w:val="0072483B"/>
    <w:rsid w:val="00726C66"/>
    <w:rsid w:val="00750E45"/>
    <w:rsid w:val="0075413A"/>
    <w:rsid w:val="007563CD"/>
    <w:rsid w:val="0076063F"/>
    <w:rsid w:val="007610C9"/>
    <w:rsid w:val="00771633"/>
    <w:rsid w:val="00771D2A"/>
    <w:rsid w:val="00771F16"/>
    <w:rsid w:val="00782304"/>
    <w:rsid w:val="0078333D"/>
    <w:rsid w:val="007862BC"/>
    <w:rsid w:val="00794C3C"/>
    <w:rsid w:val="007A1EDB"/>
    <w:rsid w:val="007A2A07"/>
    <w:rsid w:val="007B0971"/>
    <w:rsid w:val="007B24FC"/>
    <w:rsid w:val="007B6494"/>
    <w:rsid w:val="007C1680"/>
    <w:rsid w:val="007C1DFA"/>
    <w:rsid w:val="007E0E12"/>
    <w:rsid w:val="007E7E5B"/>
    <w:rsid w:val="007E7F30"/>
    <w:rsid w:val="007F4895"/>
    <w:rsid w:val="00817B5F"/>
    <w:rsid w:val="00821247"/>
    <w:rsid w:val="0082208A"/>
    <w:rsid w:val="008310D8"/>
    <w:rsid w:val="00833638"/>
    <w:rsid w:val="00834847"/>
    <w:rsid w:val="00851C59"/>
    <w:rsid w:val="0085613F"/>
    <w:rsid w:val="008573B4"/>
    <w:rsid w:val="00870B74"/>
    <w:rsid w:val="00874EC5"/>
    <w:rsid w:val="008860A2"/>
    <w:rsid w:val="00893183"/>
    <w:rsid w:val="008A5EE2"/>
    <w:rsid w:val="008B1014"/>
    <w:rsid w:val="008C0124"/>
    <w:rsid w:val="008C5689"/>
    <w:rsid w:val="008C57F4"/>
    <w:rsid w:val="008D1A4D"/>
    <w:rsid w:val="008E425F"/>
    <w:rsid w:val="008E442B"/>
    <w:rsid w:val="008F18B2"/>
    <w:rsid w:val="008F2AD5"/>
    <w:rsid w:val="008F6963"/>
    <w:rsid w:val="00905DB4"/>
    <w:rsid w:val="00910C23"/>
    <w:rsid w:val="00914ABF"/>
    <w:rsid w:val="00920749"/>
    <w:rsid w:val="0092415F"/>
    <w:rsid w:val="00924E8B"/>
    <w:rsid w:val="00950A80"/>
    <w:rsid w:val="009519B5"/>
    <w:rsid w:val="00963432"/>
    <w:rsid w:val="009734C0"/>
    <w:rsid w:val="00975E9B"/>
    <w:rsid w:val="009919B8"/>
    <w:rsid w:val="009940E6"/>
    <w:rsid w:val="009A7107"/>
    <w:rsid w:val="009B0F9D"/>
    <w:rsid w:val="009B4F2E"/>
    <w:rsid w:val="009C2F69"/>
    <w:rsid w:val="009C7ED7"/>
    <w:rsid w:val="009D0434"/>
    <w:rsid w:val="009D2908"/>
    <w:rsid w:val="009D387B"/>
    <w:rsid w:val="009D749C"/>
    <w:rsid w:val="009E46DE"/>
    <w:rsid w:val="009E55DD"/>
    <w:rsid w:val="009F170D"/>
    <w:rsid w:val="009F4E85"/>
    <w:rsid w:val="009F60F9"/>
    <w:rsid w:val="00A14401"/>
    <w:rsid w:val="00A2116B"/>
    <w:rsid w:val="00A2383F"/>
    <w:rsid w:val="00A244A9"/>
    <w:rsid w:val="00A2751E"/>
    <w:rsid w:val="00A3067B"/>
    <w:rsid w:val="00A306F4"/>
    <w:rsid w:val="00A33E6B"/>
    <w:rsid w:val="00A33F57"/>
    <w:rsid w:val="00A5469F"/>
    <w:rsid w:val="00A56BC5"/>
    <w:rsid w:val="00A64099"/>
    <w:rsid w:val="00A65BBA"/>
    <w:rsid w:val="00A914AA"/>
    <w:rsid w:val="00AC1F01"/>
    <w:rsid w:val="00AC3ACE"/>
    <w:rsid w:val="00AC7DDE"/>
    <w:rsid w:val="00AD26DA"/>
    <w:rsid w:val="00AD3B7F"/>
    <w:rsid w:val="00AE286A"/>
    <w:rsid w:val="00AE66D4"/>
    <w:rsid w:val="00B03498"/>
    <w:rsid w:val="00B0423C"/>
    <w:rsid w:val="00B07580"/>
    <w:rsid w:val="00B12718"/>
    <w:rsid w:val="00B14D5C"/>
    <w:rsid w:val="00B33651"/>
    <w:rsid w:val="00B42C96"/>
    <w:rsid w:val="00B46599"/>
    <w:rsid w:val="00B53E27"/>
    <w:rsid w:val="00B64B60"/>
    <w:rsid w:val="00B669D3"/>
    <w:rsid w:val="00B75965"/>
    <w:rsid w:val="00B762BD"/>
    <w:rsid w:val="00B86637"/>
    <w:rsid w:val="00B92B1B"/>
    <w:rsid w:val="00BA3D1C"/>
    <w:rsid w:val="00BA7B53"/>
    <w:rsid w:val="00BB7C85"/>
    <w:rsid w:val="00BC1D1C"/>
    <w:rsid w:val="00BC3F99"/>
    <w:rsid w:val="00BC4CF4"/>
    <w:rsid w:val="00BC70DD"/>
    <w:rsid w:val="00BE1AB0"/>
    <w:rsid w:val="00BE51DB"/>
    <w:rsid w:val="00BE5BD6"/>
    <w:rsid w:val="00C01403"/>
    <w:rsid w:val="00C02E4E"/>
    <w:rsid w:val="00C21400"/>
    <w:rsid w:val="00C4089A"/>
    <w:rsid w:val="00C47751"/>
    <w:rsid w:val="00C55602"/>
    <w:rsid w:val="00C5647E"/>
    <w:rsid w:val="00C730C6"/>
    <w:rsid w:val="00C75FFA"/>
    <w:rsid w:val="00C83F18"/>
    <w:rsid w:val="00C940EE"/>
    <w:rsid w:val="00CA18A7"/>
    <w:rsid w:val="00CB0B7B"/>
    <w:rsid w:val="00CB65BC"/>
    <w:rsid w:val="00CE30DD"/>
    <w:rsid w:val="00CF2593"/>
    <w:rsid w:val="00D005AA"/>
    <w:rsid w:val="00D0576E"/>
    <w:rsid w:val="00D120A8"/>
    <w:rsid w:val="00D2003F"/>
    <w:rsid w:val="00D22EEE"/>
    <w:rsid w:val="00D23FEC"/>
    <w:rsid w:val="00D249F7"/>
    <w:rsid w:val="00D62635"/>
    <w:rsid w:val="00D64471"/>
    <w:rsid w:val="00D717A0"/>
    <w:rsid w:val="00DA15DE"/>
    <w:rsid w:val="00DA4DA7"/>
    <w:rsid w:val="00DB00E9"/>
    <w:rsid w:val="00DB09ED"/>
    <w:rsid w:val="00DB29B6"/>
    <w:rsid w:val="00DD2AED"/>
    <w:rsid w:val="00DE018A"/>
    <w:rsid w:val="00DE4115"/>
    <w:rsid w:val="00DE4CD2"/>
    <w:rsid w:val="00DE5637"/>
    <w:rsid w:val="00DE68F1"/>
    <w:rsid w:val="00DF2DF5"/>
    <w:rsid w:val="00DF3FB0"/>
    <w:rsid w:val="00E03FFF"/>
    <w:rsid w:val="00E31443"/>
    <w:rsid w:val="00E37DCD"/>
    <w:rsid w:val="00E40035"/>
    <w:rsid w:val="00E423D4"/>
    <w:rsid w:val="00E43412"/>
    <w:rsid w:val="00E435CB"/>
    <w:rsid w:val="00E4475B"/>
    <w:rsid w:val="00E451C9"/>
    <w:rsid w:val="00E45783"/>
    <w:rsid w:val="00E56A6E"/>
    <w:rsid w:val="00E605A3"/>
    <w:rsid w:val="00E74345"/>
    <w:rsid w:val="00E8539F"/>
    <w:rsid w:val="00E863AD"/>
    <w:rsid w:val="00E904A6"/>
    <w:rsid w:val="00E90E54"/>
    <w:rsid w:val="00E93059"/>
    <w:rsid w:val="00E952AE"/>
    <w:rsid w:val="00EA0CF6"/>
    <w:rsid w:val="00EB4DB1"/>
    <w:rsid w:val="00EB5E66"/>
    <w:rsid w:val="00EE4593"/>
    <w:rsid w:val="00F021B0"/>
    <w:rsid w:val="00F030B6"/>
    <w:rsid w:val="00F04106"/>
    <w:rsid w:val="00F05EBF"/>
    <w:rsid w:val="00F10351"/>
    <w:rsid w:val="00F12EF0"/>
    <w:rsid w:val="00F14F3A"/>
    <w:rsid w:val="00F215D4"/>
    <w:rsid w:val="00F26F78"/>
    <w:rsid w:val="00F31B51"/>
    <w:rsid w:val="00F3740F"/>
    <w:rsid w:val="00F47FC8"/>
    <w:rsid w:val="00F50412"/>
    <w:rsid w:val="00F51C70"/>
    <w:rsid w:val="00F5297D"/>
    <w:rsid w:val="00F53FC2"/>
    <w:rsid w:val="00F56BF0"/>
    <w:rsid w:val="00F8098D"/>
    <w:rsid w:val="00F81EC9"/>
    <w:rsid w:val="00F847F4"/>
    <w:rsid w:val="00F87C40"/>
    <w:rsid w:val="00F940D5"/>
    <w:rsid w:val="00FA0DCB"/>
    <w:rsid w:val="00FA2F38"/>
    <w:rsid w:val="00FA65A4"/>
    <w:rsid w:val="00FA6A1E"/>
    <w:rsid w:val="00FE183E"/>
    <w:rsid w:val="00FE2FCA"/>
    <w:rsid w:val="00FE3B29"/>
    <w:rsid w:val="00FF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Header">
    <w:name w:val="header"/>
    <w:basedOn w:val="Normal"/>
    <w:link w:val="HeaderChar"/>
    <w:uiPriority w:val="99"/>
    <w:unhideWhenUsed/>
    <w:rsid w:val="00B4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96"/>
    <w:rPr>
      <w:sz w:val="22"/>
      <w:szCs w:val="22"/>
      <w:lang w:val="el-GR"/>
    </w:rPr>
  </w:style>
  <w:style w:type="paragraph" w:styleId="Footer">
    <w:name w:val="footer"/>
    <w:basedOn w:val="Normal"/>
    <w:link w:val="FooterChar"/>
    <w:uiPriority w:val="99"/>
    <w:unhideWhenUsed/>
    <w:rsid w:val="00B4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96"/>
    <w:rPr>
      <w:sz w:val="22"/>
      <w:szCs w:val="22"/>
      <w:lang w:val="el-GR"/>
    </w:rPr>
  </w:style>
  <w:style w:type="paragraph" w:styleId="BalloonText">
    <w:name w:val="Balloon Text"/>
    <w:basedOn w:val="Normal"/>
    <w:link w:val="BalloonTextChar"/>
    <w:uiPriority w:val="99"/>
    <w:semiHidden/>
    <w:unhideWhenUsed/>
    <w:rsid w:val="00491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B41"/>
    <w:rPr>
      <w:rFonts w:ascii="Tahoma" w:hAnsi="Tahoma" w:cs="Tahoma"/>
      <w:sz w:val="16"/>
      <w:szCs w:val="16"/>
      <w:lang w:val="el-GR"/>
    </w:rPr>
  </w:style>
  <w:style w:type="paragraph" w:styleId="Revision">
    <w:name w:val="Revision"/>
    <w:hidden/>
    <w:uiPriority w:val="99"/>
    <w:semiHidden/>
    <w:rsid w:val="00B03498"/>
    <w:rPr>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Header">
    <w:name w:val="header"/>
    <w:basedOn w:val="Normal"/>
    <w:link w:val="HeaderChar"/>
    <w:uiPriority w:val="99"/>
    <w:unhideWhenUsed/>
    <w:rsid w:val="00B4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96"/>
    <w:rPr>
      <w:sz w:val="22"/>
      <w:szCs w:val="22"/>
      <w:lang w:val="el-GR"/>
    </w:rPr>
  </w:style>
  <w:style w:type="paragraph" w:styleId="Footer">
    <w:name w:val="footer"/>
    <w:basedOn w:val="Normal"/>
    <w:link w:val="FooterChar"/>
    <w:uiPriority w:val="99"/>
    <w:unhideWhenUsed/>
    <w:rsid w:val="00B4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96"/>
    <w:rPr>
      <w:sz w:val="22"/>
      <w:szCs w:val="22"/>
      <w:lang w:val="el-GR"/>
    </w:rPr>
  </w:style>
  <w:style w:type="paragraph" w:styleId="BalloonText">
    <w:name w:val="Balloon Text"/>
    <w:basedOn w:val="Normal"/>
    <w:link w:val="BalloonTextChar"/>
    <w:uiPriority w:val="99"/>
    <w:semiHidden/>
    <w:unhideWhenUsed/>
    <w:rsid w:val="00491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B41"/>
    <w:rPr>
      <w:rFonts w:ascii="Tahoma" w:hAnsi="Tahoma" w:cs="Tahoma"/>
      <w:sz w:val="16"/>
      <w:szCs w:val="16"/>
      <w:lang w:val="el-GR"/>
    </w:rPr>
  </w:style>
  <w:style w:type="paragraph" w:styleId="Revision">
    <w:name w:val="Revision"/>
    <w:hidden/>
    <w:uiPriority w:val="99"/>
    <w:semiHidden/>
    <w:rsid w:val="00B03498"/>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amichalopoulos@pshippin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AE02-6E86-4705-93DD-3978332E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4193</Words>
  <Characters>23902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mdede</dc:creator>
  <cp:lastModifiedBy>Karla von Felbinger</cp:lastModifiedBy>
  <cp:revision>4</cp:revision>
  <dcterms:created xsi:type="dcterms:W3CDTF">2021-03-05T13:50:00Z</dcterms:created>
  <dcterms:modified xsi:type="dcterms:W3CDTF">2021-03-05T14:19:00Z</dcterms:modified>
</cp:coreProperties>
</file>